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20" w:lineRule="exact"/>
        <w:rPr>
          <w:rFonts w:hint="eastAsia"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</w:rPr>
        <w:t>附件1</w:t>
      </w:r>
    </w:p>
    <w:p>
      <w:pPr>
        <w:shd w:val="clear" w:color="auto" w:fill="FFFFFF"/>
        <w:spacing w:line="620" w:lineRule="exact"/>
        <w:jc w:val="center"/>
        <w:rPr>
          <w:rFonts w:hint="eastAsia" w:ascii="黑体" w:hAnsi="黑体" w:eastAsia="黑体" w:cs="黑体"/>
          <w:b/>
          <w:kern w:val="0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进城务工人员随迁子女在渭参加中考报名申请表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411"/>
        <w:gridCol w:w="1235"/>
        <w:gridCol w:w="529"/>
        <w:gridCol w:w="882"/>
        <w:gridCol w:w="706"/>
        <w:gridCol w:w="1588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635" w:type="dxa"/>
            <w:vMerge w:val="restart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随迁子女信息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52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64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户籍地市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494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635" w:type="dxa"/>
            <w:vMerge w:val="restart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随迁子女父母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信息</w:t>
            </w:r>
          </w:p>
          <w:p>
            <w:pPr>
              <w:rPr>
                <w:rFonts w:hint="eastAsia" w:ascii="仿宋" w:hAnsi="仿宋" w:eastAsia="仿宋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父亲/母亲姓名</w:t>
            </w:r>
          </w:p>
        </w:tc>
        <w:tc>
          <w:tcPr>
            <w:tcW w:w="17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居住证发证机关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7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详细地址</w:t>
            </w:r>
          </w:p>
        </w:tc>
        <w:tc>
          <w:tcPr>
            <w:tcW w:w="299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工作/服务处所</w:t>
            </w:r>
          </w:p>
        </w:tc>
        <w:tc>
          <w:tcPr>
            <w:tcW w:w="17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基本养老保险收缴机关</w:t>
            </w:r>
          </w:p>
        </w:tc>
        <w:tc>
          <w:tcPr>
            <w:tcW w:w="299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exact"/>
        </w:trPr>
        <w:tc>
          <w:tcPr>
            <w:tcW w:w="63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教育行政部门审查意见 </w:t>
            </w:r>
          </w:p>
        </w:tc>
        <w:tc>
          <w:tcPr>
            <w:tcW w:w="7762" w:type="dxa"/>
            <w:gridSpan w:val="7"/>
            <w:noWrap w:val="0"/>
            <w:vAlign w:val="top"/>
          </w:tcPr>
          <w:p>
            <w:pPr>
              <w:spacing w:line="2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该随迁子女：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,初级中等教育阶段学籍号：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  <w:u w:val="single"/>
              </w:rPr>
              <w:t xml:space="preserve">                          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截止2025年，初级中等教育阶段在渭学籍满2年，符合学籍方面的报考条件。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负责人：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                                             （盖章）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635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公安部门审查意见</w:t>
            </w:r>
          </w:p>
        </w:tc>
        <w:tc>
          <w:tcPr>
            <w:tcW w:w="7762" w:type="dxa"/>
            <w:gridSpan w:val="7"/>
            <w:noWrap w:val="0"/>
            <w:vAlign w:val="top"/>
          </w:tcPr>
          <w:p>
            <w:pPr>
              <w:spacing w:line="2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该随迁子女父亲/母亲/法定监护人：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，截止2025年8月31日，持渭南市居住证2年以上（含2年），符合居住方面的报考条件。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负责人：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</w:t>
            </w:r>
            <w:r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（盖章）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635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养老保险经办机构审查意见</w:t>
            </w:r>
          </w:p>
        </w:tc>
        <w:tc>
          <w:tcPr>
            <w:tcW w:w="7762" w:type="dxa"/>
            <w:gridSpan w:val="7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该随迁子女父亲/母亲/法定监护人：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，截止2025年8月31日，在渭南市缴纳职工养老保险2年以上（含2年），符合参保缴费方面的报考条件。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负责人：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ind w:firstLine="5940" w:firstLineChars="3300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（盖章）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                                           年    月   日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635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>县区资审机构最终意见</w:t>
            </w:r>
          </w:p>
        </w:tc>
        <w:tc>
          <w:tcPr>
            <w:tcW w:w="7762" w:type="dxa"/>
            <w:gridSpan w:val="7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  <w:t xml:space="preserve">                                  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签  字：                                                        （盖章）</w:t>
            </w:r>
          </w:p>
          <w:p>
            <w:pPr>
              <w:spacing w:line="40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kern w:val="0"/>
                <w:sz w:val="18"/>
                <w:szCs w:val="18"/>
              </w:rPr>
              <w:t xml:space="preserve">                                                                年    月   日</w:t>
            </w:r>
          </w:p>
          <w:p>
            <w:pPr>
              <w:spacing w:line="240" w:lineRule="exact"/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黑体"/>
                <w:b/>
                <w:kern w:val="0"/>
                <w:sz w:val="18"/>
                <w:szCs w:val="18"/>
              </w:rPr>
              <w:t xml:space="preserve">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B8B784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2025-03-19T14:11:52Z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