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F5543">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0A93425E">
      <w:pPr>
        <w:jc w:val="right"/>
        <w:rPr>
          <w:rFonts w:hint="default" w:ascii="Arial" w:hAnsi="Arial" w:cs="Arial"/>
          <w:sz w:val="72"/>
          <w:szCs w:val="72"/>
        </w:rPr>
      </w:pPr>
      <w:r>
        <w:rPr>
          <w:rFonts w:hint="default" w:ascii="Arial" w:hAnsi="Arial" w:cs="Arial"/>
          <w:sz w:val="72"/>
          <w:szCs w:val="72"/>
        </w:rPr>
        <w:t>DB</w:t>
      </w:r>
    </w:p>
    <w:p w14:paraId="73591359">
      <w:pPr>
        <w:rPr>
          <w:rFonts w:hint="eastAsia"/>
        </w:rPr>
      </w:pPr>
    </w:p>
    <w:p w14:paraId="581E7441">
      <w:pPr>
        <w:jc w:val="distribute"/>
        <w:rPr>
          <w:rFonts w:hint="eastAsia" w:ascii="黑体" w:hAnsi="黑体" w:eastAsia="黑体" w:cs="黑体"/>
          <w:sz w:val="52"/>
          <w:szCs w:val="52"/>
        </w:rPr>
      </w:pPr>
      <w:r>
        <w:rPr>
          <w:rFonts w:hint="eastAsia" w:ascii="黑体" w:hAnsi="黑体" w:eastAsia="黑体" w:cs="黑体"/>
          <w:sz w:val="52"/>
          <w:szCs w:val="52"/>
        </w:rPr>
        <w:t>渭  南  市  地  方  标  准</w:t>
      </w:r>
    </w:p>
    <w:p w14:paraId="2063DA13">
      <w:pPr>
        <w:ind w:firstLine="6720" w:firstLineChars="2400"/>
        <w:rPr>
          <w:rFonts w:hint="eastAsia" w:ascii="黑体" w:hAnsi="黑体" w:eastAsia="黑体" w:cs="黑体"/>
          <w:sz w:val="28"/>
          <w:szCs w:val="28"/>
        </w:rPr>
      </w:pPr>
      <w:r>
        <w:rPr>
          <w:rFonts w:hint="eastAsia" w:ascii="黑体" w:hAnsi="黑体" w:eastAsia="黑体" w:cs="黑体"/>
          <w:sz w:val="28"/>
          <w:szCs w:val="28"/>
        </w:rPr>
        <w:t>DB</w:t>
      </w:r>
    </w:p>
    <w:p w14:paraId="0D864F17">
      <w:pPr>
        <w:rPr>
          <w:rFonts w:hint="eastAsia"/>
        </w:rPr>
      </w:pPr>
      <w:r>
        <mc:AlternateContent>
          <mc:Choice Requires="wps">
            <w:drawing>
              <wp:inline distT="0" distB="0" distL="114300" distR="114300">
                <wp:extent cx="5417820" cy="76200"/>
                <wp:effectExtent l="0" t="0" r="11430" b="0"/>
                <wp:docPr id="1" name="任意多边形 1"/>
                <wp:cNvGraphicFramePr/>
                <a:graphic xmlns:a="http://schemas.openxmlformats.org/drawingml/2006/main">
                  <a:graphicData uri="http://schemas.microsoft.com/office/word/2010/wordprocessingShape">
                    <wps:wsp>
                      <wps:cNvSpPr/>
                      <wps:spPr>
                        <a:xfrm flipV="1">
                          <a:off x="0" y="0"/>
                          <a:ext cx="5417820" cy="76200"/>
                        </a:xfrm>
                        <a:custGeom>
                          <a:avLst/>
                          <a:gdLst/>
                          <a:ahLst/>
                          <a:cxnLst/>
                          <a:pathLst>
                            <a:path w="8787" h="45">
                              <a:moveTo>
                                <a:pt x="0" y="22"/>
                              </a:moveTo>
                              <a:lnTo>
                                <a:pt x="8786" y="22"/>
                              </a:lnTo>
                            </a:path>
                          </a:pathLst>
                        </a:custGeom>
                        <a:noFill/>
                        <a:ln w="28956" cap="flat" cmpd="sng">
                          <a:solidFill>
                            <a:srgbClr val="000000"/>
                          </a:solidFill>
                          <a:prstDash val="solid"/>
                          <a:miter/>
                          <a:headEnd type="none" w="med" len="med"/>
                          <a:tailEnd type="none" w="med" len="med"/>
                        </a:ln>
                      </wps:spPr>
                      <wps:bodyPr upright="1"/>
                    </wps:wsp>
                  </a:graphicData>
                </a:graphic>
              </wp:inline>
            </w:drawing>
          </mc:Choice>
          <mc:Fallback>
            <w:pict>
              <v:shape id="_x0000_s1026" o:spid="_x0000_s1026" o:spt="100" style="flip:y;height:6pt;width:426.6pt;" filled="f" stroked="t" coordsize="8787,45" o:gfxdata="UEsDBAoAAAAAAIdO4kAAAAAAAAAAAAAAAAAEAAAAZHJzL1BLAwQUAAAACACHTuJAvPXIOdIAAAAE&#10;AQAADwAAAGRycy9kb3ducmV2LnhtbE2PT0vEMBDF74LfIYywNzdpZHWpTRdZlL0J1gWv2WRsi82k&#10;NOn++faOXvTyYHiP935Tbc5hEEecUh/JQLFUIJBc9D21BvbvL7drEClb8naIhAYumGBTX19VtvTx&#10;RG94bHIruIRSaQ10OY+llMl1GGxaxhGJvc84BZv5nFrpJ3vi8jBIrdS9DLYnXujsiNsO3VczBwMP&#10;s9by9RInt9qh/nBPz8W22RuzuCnUI4iM5/wXhh98RoeamQ5xJp/EYIAfyb/K3np1p0EcOKQVyLqS&#10;/+Hrb1BLAwQUAAAACACHTuJAlJho7kUCAACkBAAADgAAAGRycy9lMm9Eb2MueG1srVS9btswEN4L&#10;9B0I7rVsIf6pYDlD3XQp2gBJu9MkJRHgH0jasvfu3TsWfYkiSJ+mCfIYPVLyT9PFQzUIH++O3313&#10;PHJ+uVUSbbjzwugSjwZDjLimhgldl/jT7dWrGUY+EM2INJqXeMc9vly8fDFvbcFz0xjJuENAon3R&#10;2hI3IdgiyzxtuCJ+YCzX4KyMUyTA0tUZc6QFdiWzfDicZK1xzDpDufdgXXZO3DO6cwhNVQnKl4au&#10;FdehY3VckgAl+UZYjxdJbVVxGj5WlecByRJDpSH9IQngVfxnizkpakdsI2gvgZwj4VlNiggNSQ9U&#10;SxIIWjvxD5US1BlvqjCgRmVdIakjUMVo+Kw3Nw2xPNUCrfb20HT//2jph821Q4LBJGCkiYID/313&#10;9/jl68OPb0+/fj7cf0ej2KTW+gJib+y161ceYKx4WzmFKins58gRLVAV2qYW7w4t5tuAKBjHF6Pp&#10;LIfuU/BNJzAQkT3raOJmuvbhHTcqYrJ570N3QmyPSLNHdKv30JIQzXFPhKgt8Ww6m2LUlPhinEQp&#10;s+G3JkWEo7o879Mf3VKfhgHNBCPQeojs/KA4ZkrSD9nBeCpfmyshZdIvddSUz16PgY0SuDYVjCtA&#10;ZaH1XtdJozdSsLgnyvSuXr2RDm1IHN309Vr/CrPOhyXxTReXXDGMFEoE7hJqOGFvNUNhZ+F4Ndxq&#10;HNUozjCSHB6BiFJkIEKeEwmFSg21x6no5iCilWE7GKa1daJu4KalwUkxMLypU/1Fi7fjdJ2Yjo/L&#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89cg50gAAAAQBAAAPAAAAAAAAAAEAIAAAACIAAABk&#10;cnMvZG93bnJldi54bWxQSwECFAAUAAAACACHTuJAlJho7kUCAACkBAAADgAAAAAAAAABACAAAAAh&#10;AQAAZHJzL2Uyb0RvYy54bWxQSwUGAAAAAAYABgBZAQAA2AUAAAAA&#10;" path="m0,22l8786,22e">
                <v:fill on="f" focussize="0,0"/>
                <v:stroke weight="2.28pt" color="#000000" joinstyle="miter"/>
                <v:imagedata o:title=""/>
                <o:lock v:ext="edit" aspectratio="f"/>
                <w10:wrap type="none"/>
                <w10:anchorlock/>
              </v:shape>
            </w:pict>
          </mc:Fallback>
        </mc:AlternateContent>
      </w:r>
    </w:p>
    <w:p w14:paraId="74EEEAE1">
      <w:pPr>
        <w:rPr>
          <w:rFonts w:hint="eastAsia"/>
        </w:rPr>
      </w:pPr>
    </w:p>
    <w:p w14:paraId="31F6C5E9">
      <w:pPr>
        <w:rPr>
          <w:rFonts w:hint="eastAsia"/>
        </w:rPr>
      </w:pPr>
    </w:p>
    <w:p w14:paraId="0CC33E1A">
      <w:pPr>
        <w:rPr>
          <w:rFonts w:hint="eastAsia"/>
        </w:rPr>
      </w:pPr>
    </w:p>
    <w:p w14:paraId="298FEF78">
      <w:pPr>
        <w:rPr>
          <w:rFonts w:hint="eastAsia"/>
        </w:rPr>
      </w:pPr>
    </w:p>
    <w:p w14:paraId="211B98F6">
      <w:pPr>
        <w:rPr>
          <w:rFonts w:hint="eastAsia"/>
        </w:rPr>
      </w:pPr>
    </w:p>
    <w:p w14:paraId="7F515A71">
      <w:pPr>
        <w:rPr>
          <w:rFonts w:hint="eastAsia"/>
        </w:rPr>
      </w:pPr>
    </w:p>
    <w:p w14:paraId="5E608CEF">
      <w:pPr>
        <w:rPr>
          <w:rFonts w:hint="eastAsia"/>
        </w:rPr>
      </w:pPr>
    </w:p>
    <w:p w14:paraId="0419772E">
      <w:pPr>
        <w:rPr>
          <w:rFonts w:hint="eastAsia"/>
        </w:rPr>
      </w:pPr>
    </w:p>
    <w:p w14:paraId="6910A368">
      <w:pPr>
        <w:rPr>
          <w:rFonts w:hint="eastAsia"/>
        </w:rPr>
      </w:pPr>
    </w:p>
    <w:p w14:paraId="7270E19F">
      <w:pPr>
        <w:rPr>
          <w:rFonts w:hint="eastAsia"/>
        </w:rPr>
      </w:pPr>
    </w:p>
    <w:p w14:paraId="26A3B074">
      <w:pPr>
        <w:jc w:val="center"/>
        <w:rPr>
          <w:rFonts w:hint="eastAsia" w:ascii="黑体" w:hAnsi="黑体" w:eastAsia="黑体" w:cs="黑体"/>
          <w:sz w:val="56"/>
          <w:szCs w:val="56"/>
        </w:rPr>
      </w:pPr>
      <w:r>
        <w:rPr>
          <w:rFonts w:hint="eastAsia" w:ascii="黑体" w:hAnsi="黑体" w:eastAsia="黑体" w:cs="黑体"/>
          <w:sz w:val="56"/>
          <w:szCs w:val="56"/>
          <w:lang w:val="en-US" w:eastAsia="zh-CN"/>
        </w:rPr>
        <w:t>樱桃果蝇综合防治技术规程</w:t>
      </w:r>
    </w:p>
    <w:p w14:paraId="304E3BD2">
      <w:pPr>
        <w:rPr>
          <w:rFonts w:hint="eastAsia"/>
        </w:rPr>
      </w:pPr>
    </w:p>
    <w:p w14:paraId="1A99A98E">
      <w:pPr>
        <w:rPr>
          <w:rFonts w:hint="eastAsia"/>
        </w:rPr>
      </w:pPr>
    </w:p>
    <w:p w14:paraId="7EFC3471">
      <w:pPr>
        <w:rPr>
          <w:rFonts w:hint="eastAsia"/>
        </w:rPr>
      </w:pPr>
    </w:p>
    <w:p w14:paraId="53616189">
      <w:pPr>
        <w:rPr>
          <w:rFonts w:hint="eastAsia"/>
        </w:rPr>
      </w:pPr>
    </w:p>
    <w:p w14:paraId="7A78EF9C">
      <w:pPr>
        <w:rPr>
          <w:rFonts w:hint="eastAsia"/>
        </w:rPr>
      </w:pPr>
    </w:p>
    <w:p w14:paraId="6DCB50C6">
      <w:pPr>
        <w:rPr>
          <w:rFonts w:hint="eastAsia"/>
        </w:rPr>
      </w:pPr>
    </w:p>
    <w:p w14:paraId="26AAE9B1">
      <w:pPr>
        <w:rPr>
          <w:rFonts w:hint="eastAsia"/>
        </w:rPr>
      </w:pPr>
    </w:p>
    <w:p w14:paraId="350C2D2C">
      <w:pPr>
        <w:rPr>
          <w:rFonts w:hint="eastAsia"/>
        </w:rPr>
      </w:pPr>
    </w:p>
    <w:p w14:paraId="40082FD7">
      <w:pPr>
        <w:rPr>
          <w:rFonts w:hint="eastAsia"/>
        </w:rPr>
      </w:pPr>
    </w:p>
    <w:p w14:paraId="771C73E9">
      <w:pPr>
        <w:rPr>
          <w:rFonts w:hint="eastAsia"/>
        </w:rPr>
      </w:pPr>
    </w:p>
    <w:p w14:paraId="41A00220">
      <w:pPr>
        <w:rPr>
          <w:rFonts w:hint="eastAsia"/>
        </w:rPr>
      </w:pPr>
    </w:p>
    <w:p w14:paraId="5E5514A1">
      <w:pPr>
        <w:rPr>
          <w:rFonts w:hint="eastAsia"/>
        </w:rPr>
      </w:pPr>
    </w:p>
    <w:p w14:paraId="084F66B5">
      <w:pPr>
        <w:rPr>
          <w:rFonts w:hint="eastAsia"/>
        </w:rPr>
      </w:pPr>
    </w:p>
    <w:p w14:paraId="614D4A5D">
      <w:pPr>
        <w:rPr>
          <w:rFonts w:hint="eastAsia" w:ascii="黑体" w:hAnsi="黑体" w:eastAsia="黑体" w:cs="黑体"/>
          <w:sz w:val="32"/>
          <w:szCs w:val="32"/>
        </w:rPr>
      </w:pPr>
      <w:r>
        <w:rPr>
          <w:rFonts w:hint="eastAsia" w:ascii="黑体" w:hAnsi="黑体" w:eastAsia="黑体" w:cs="黑体"/>
          <w:sz w:val="32"/>
          <w:szCs w:val="32"/>
        </w:rPr>
        <w:t>202</w:t>
      </w:r>
      <w:r>
        <w:rPr>
          <w:rFonts w:hint="eastAsia" w:ascii="黑体" w:hAnsi="黑体" w:eastAsia="黑体" w:cs="黑体"/>
          <w:sz w:val="32"/>
          <w:szCs w:val="32"/>
          <w:lang w:val="en-US" w:eastAsia="zh-CN"/>
        </w:rPr>
        <w:t>4</w:t>
      </w:r>
      <w:r>
        <w:rPr>
          <w:rFonts w:hint="eastAsia" w:ascii="黑体" w:hAnsi="黑体" w:eastAsia="黑体" w:cs="黑体"/>
          <w:sz w:val="32"/>
          <w:szCs w:val="32"/>
        </w:rPr>
        <w:t>- -  发布</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 xml:space="preserve">  202</w:t>
      </w:r>
      <w:r>
        <w:rPr>
          <w:rFonts w:hint="eastAsia" w:ascii="黑体" w:hAnsi="黑体" w:eastAsia="黑体" w:cs="黑体"/>
          <w:sz w:val="32"/>
          <w:szCs w:val="32"/>
          <w:lang w:val="en-US" w:eastAsia="zh-CN"/>
        </w:rPr>
        <w:t>4</w:t>
      </w:r>
      <w:r>
        <w:rPr>
          <w:rFonts w:hint="eastAsia" w:ascii="黑体" w:hAnsi="黑体" w:eastAsia="黑体" w:cs="黑体"/>
          <w:sz w:val="32"/>
          <w:szCs w:val="32"/>
        </w:rPr>
        <w:t>-  -  实施</w:t>
      </w:r>
    </w:p>
    <w:p w14:paraId="5875AFA5">
      <w:pPr>
        <w:rPr>
          <w:rFonts w:hint="eastAsia"/>
        </w:rPr>
      </w:pPr>
      <w:r>
        <mc:AlternateContent>
          <mc:Choice Requires="wps">
            <w:drawing>
              <wp:inline distT="0" distB="0" distL="114300" distR="114300">
                <wp:extent cx="5379720" cy="76200"/>
                <wp:effectExtent l="0" t="0" r="11430" b="0"/>
                <wp:docPr id="3" name="任意多边形 3"/>
                <wp:cNvGraphicFramePr/>
                <a:graphic xmlns:a="http://schemas.openxmlformats.org/drawingml/2006/main">
                  <a:graphicData uri="http://schemas.microsoft.com/office/word/2010/wordprocessingShape">
                    <wps:wsp>
                      <wps:cNvSpPr/>
                      <wps:spPr>
                        <a:xfrm>
                          <a:off x="0" y="0"/>
                          <a:ext cx="5379720" cy="76200"/>
                        </a:xfrm>
                        <a:custGeom>
                          <a:avLst/>
                          <a:gdLst/>
                          <a:ahLst/>
                          <a:cxnLst/>
                          <a:pathLst>
                            <a:path w="8787" h="45">
                              <a:moveTo>
                                <a:pt x="0" y="22"/>
                              </a:moveTo>
                              <a:lnTo>
                                <a:pt x="8786" y="22"/>
                              </a:lnTo>
                            </a:path>
                          </a:pathLst>
                        </a:custGeom>
                        <a:noFill/>
                        <a:ln w="28956" cap="flat" cmpd="sng">
                          <a:solidFill>
                            <a:srgbClr val="000000"/>
                          </a:solidFill>
                          <a:prstDash val="solid"/>
                          <a:miter/>
                          <a:headEnd type="none" w="med" len="med"/>
                          <a:tailEnd type="none" w="med" len="med"/>
                        </a:ln>
                      </wps:spPr>
                      <wps:bodyPr upright="1"/>
                    </wps:wsp>
                  </a:graphicData>
                </a:graphic>
              </wp:inline>
            </w:drawing>
          </mc:Choice>
          <mc:Fallback>
            <w:pict>
              <v:shape id="_x0000_s1026" o:spid="_x0000_s1026" o:spt="100" style="height:6pt;width:423.6pt;" filled="f" stroked="t" coordsize="8787,45" o:gfxdata="UEsDBAoAAAAAAIdO4kAAAAAAAAAAAAAAAAAEAAAAZHJzL1BLAwQUAAAACACHTuJARQSTstQAAAAE&#10;AQAADwAAAGRycy9kb3ducmV2LnhtbE2PwU7DMBBE70j8g7VIXBC1E5VShTg9oHKBA6KAuLrx4kS1&#10;11Hspu3fs3Chl5FWM5p5W6+OwYsJx9RH0lDMFAikNtqenIaP96fbJYiUDVnjI6GGEyZYNZcXtals&#10;PNAbTpvsBJdQqoyGLuehkjK1HQaTZnFAYu87jsFkPkcn7WgOXB68LJVayGB64oXODPjYYbvb7IOG&#10;xXqnnk/r9mt6ndOd8zef5YsrtL6+KtQDiIzH/B+GX3xGh4aZtnFPNgmvgR/Jf8recn5fgthyqFQg&#10;m1qewzc/UEsDBBQAAAAIAIdO4kDa2IzGPgIAAJoEAAAOAAAAZHJzL2Uyb0RvYy54bWytVM2O0zAQ&#10;viPxDpbvNG1KfzZqugfKckGw0i4P4NpOYsl/st2mvXPnzhHxEmgFT8MiHoOxk/6wXHqgh3TsmXzz&#10;zTczWVzvlERb7rwwusSjwRAjrqlhQtcl/nB/82KOkQ9EMyKN5iXec4+vl8+fLVpb8Nw0RjLuEIBo&#10;X7S2xE0ItsgyTxuuiB8YyzU4K+MUCXB0dcYcaQFdySwfDqdZaxyzzlDuPdyuOifuEd0lgKaqBOUr&#10;QzeK69ChOi5JgJJ8I6zHy8S2qjgN76vK84BkiaHSkJ6QBOx1fGbLBSlqR2wjaE+BXELhSU2KCA1J&#10;j1ArEgjaOPEPlBLUGW+qMKBGZV0hSRGoYjR8os1dQyxPtYDU3h5F9/8Plr7b3jokWInHGGmioOE/&#10;Hx5+ffz0+PXz7x/fHr9/QeMoUmt9AbF39tb1Jw9mrHhXORX/oRa0S8Luj8LyXUAULifj2dUsB80p&#10;+GZTGIOImZ1ephsf3nCTgMj2rQ9dX9jBIs3Bojt9MC0J8TomjyZqSzyfzWcYNSV+OUntUGbL702K&#10;CCd2ed6nP7mlPg8DmClGwPUY2fmBccyUqB+zw+U5fW1uhJSJv9SRUz6/mgAaJbAsFQwpmMqC4F7X&#10;iaM3UrD4TqTpXb1+JR3akjiw6ddz/SvMOh9WxDddXHLFMFIoEbhLVsMJe60ZCnsLTdWwyziyUZxh&#10;JDmsfrRSZCBCXhIJhUoNtcdZ6LofrbVhexihjXWibmC/Rolv9MDIJqX69Yo7cX5OSKdPyvI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QSTstQAAAAEAQAADwAAAAAAAAABACAAAAAiAAAAZHJzL2Rv&#10;d25yZXYueG1sUEsBAhQAFAAAAAgAh07iQNrYjMY+AgAAmgQAAA4AAAAAAAAAAQAgAAAAIwEAAGRy&#10;cy9lMm9Eb2MueG1sUEsFBgAAAAAGAAYAWQEAANMFAAAAAA==&#10;" path="m0,22l8786,22e">
                <v:fill on="f" focussize="0,0"/>
                <v:stroke weight="2.28pt" color="#000000" joinstyle="miter"/>
                <v:imagedata o:title=""/>
                <o:lock v:ext="edit" aspectratio="f"/>
                <w10:wrap type="none"/>
                <w10:anchorlock/>
              </v:shape>
            </w:pict>
          </mc:Fallback>
        </mc:AlternateContent>
      </w:r>
    </w:p>
    <w:p w14:paraId="13B957D5">
      <w:pPr>
        <w:keepNext w:val="0"/>
        <w:keepLines w:val="0"/>
        <w:pageBreakBefore w:val="0"/>
        <w:widowControl w:val="0"/>
        <w:kinsoku/>
        <w:wordWrap/>
        <w:overflowPunct/>
        <w:topLinePunct w:val="0"/>
        <w:autoSpaceDE/>
        <w:autoSpaceDN/>
        <w:bidi w:val="0"/>
        <w:adjustRightInd/>
        <w:snapToGrid/>
        <w:jc w:val="center"/>
        <w:textAlignment w:val="auto"/>
        <w:rPr>
          <w:rFonts w:hint="eastAsia"/>
          <w:color w:val="FF0000"/>
          <w:lang w:val="en-US" w:eastAsia="zh-CN"/>
        </w:rPr>
      </w:pPr>
      <w:r>
        <w:rPr>
          <w:rFonts w:hint="eastAsia" w:ascii="黑体" w:hAnsi="黑体" w:eastAsia="黑体" w:cs="黑体"/>
          <w:sz w:val="36"/>
          <w:szCs w:val="36"/>
        </w:rPr>
        <w:t xml:space="preserve">渭南市市场监督管理局   </w:t>
      </w:r>
      <w:r>
        <w:rPr>
          <w:rFonts w:hint="eastAsia" w:ascii="黑体" w:hAnsi="黑体" w:eastAsia="黑体" w:cs="黑体"/>
          <w:sz w:val="24"/>
          <w:szCs w:val="24"/>
        </w:rPr>
        <w:t>发 布</w:t>
      </w:r>
    </w:p>
    <w:p w14:paraId="6A32BA04">
      <w:pPr>
        <w:rPr>
          <w:rFonts w:hint="eastAsia"/>
          <w:color w:val="FF0000"/>
          <w:lang w:val="en-US" w:eastAsia="zh-CN"/>
        </w:rPr>
      </w:pPr>
    </w:p>
    <w:p w14:paraId="7095FECD">
      <w:pPr>
        <w:rPr>
          <w:rFonts w:hint="default"/>
          <w:color w:val="FF0000"/>
          <w:lang w:val="en-US" w:eastAsia="zh-CN"/>
        </w:rPr>
      </w:pPr>
    </w:p>
    <w:p w14:paraId="4652076F">
      <w:pPr>
        <w:jc w:val="center"/>
        <w:rPr>
          <w:rFonts w:hint="eastAsia"/>
          <w:b/>
          <w:bCs/>
          <w:sz w:val="32"/>
          <w:szCs w:val="32"/>
        </w:rPr>
      </w:pPr>
      <w:r>
        <w:rPr>
          <w:rFonts w:hint="eastAsia"/>
          <w:b/>
          <w:bCs/>
          <w:sz w:val="32"/>
          <w:szCs w:val="32"/>
        </w:rPr>
        <w:t>前   言</w:t>
      </w:r>
    </w:p>
    <w:p w14:paraId="2834BC94">
      <w:pPr>
        <w:rPr>
          <w:rFonts w:hint="eastAsia"/>
        </w:rPr>
      </w:pPr>
    </w:p>
    <w:p w14:paraId="67BFFD49">
      <w:pPr>
        <w:rPr>
          <w:rFonts w:hint="eastAsia"/>
        </w:rPr>
      </w:pPr>
    </w:p>
    <w:p w14:paraId="33F89190">
      <w:pPr>
        <w:rPr>
          <w:rFonts w:hint="eastAsia"/>
        </w:rPr>
      </w:pPr>
    </w:p>
    <w:p w14:paraId="642EFF2B">
      <w:pPr>
        <w:keepNext w:val="0"/>
        <w:keepLines w:val="0"/>
        <w:pageBreakBefore w:val="0"/>
        <w:widowControl w:val="0"/>
        <w:kinsoku/>
        <w:wordWrap/>
        <w:overflowPunct/>
        <w:topLinePunct w:val="0"/>
        <w:autoSpaceDE/>
        <w:autoSpaceDN/>
        <w:bidi w:val="0"/>
        <w:adjustRightInd/>
        <w:snapToGrid/>
        <w:spacing w:line="600" w:lineRule="auto"/>
        <w:ind w:firstLine="420" w:firstLineChars="200"/>
        <w:textAlignment w:val="auto"/>
        <w:rPr>
          <w:rFonts w:hint="eastAsia" w:ascii="宋体" w:hAnsi="宋体" w:eastAsia="宋体" w:cs="宋体"/>
        </w:rPr>
      </w:pPr>
      <w:r>
        <w:rPr>
          <w:rFonts w:hint="eastAsia" w:ascii="宋体" w:hAnsi="宋体" w:eastAsia="宋体" w:cs="宋体"/>
        </w:rPr>
        <w:t>本文件按照 GB/T 1. 1—2020《标准化工作导则第 1 部分：标准化文件的结构和起草规则》的规定起草。</w:t>
      </w:r>
    </w:p>
    <w:p w14:paraId="64ED0B22">
      <w:pPr>
        <w:keepNext w:val="0"/>
        <w:keepLines w:val="0"/>
        <w:pageBreakBefore w:val="0"/>
        <w:widowControl w:val="0"/>
        <w:kinsoku/>
        <w:wordWrap/>
        <w:overflowPunct/>
        <w:topLinePunct w:val="0"/>
        <w:autoSpaceDE/>
        <w:autoSpaceDN/>
        <w:bidi w:val="0"/>
        <w:adjustRightInd/>
        <w:snapToGrid/>
        <w:spacing w:line="600" w:lineRule="auto"/>
        <w:ind w:firstLine="420" w:firstLineChars="200"/>
        <w:textAlignment w:val="auto"/>
        <w:rPr>
          <w:rFonts w:hint="eastAsia" w:ascii="宋体" w:hAnsi="宋体" w:eastAsia="宋体" w:cs="宋体"/>
        </w:rPr>
      </w:pPr>
      <w:r>
        <w:rPr>
          <w:rFonts w:hint="eastAsia" w:ascii="宋体" w:hAnsi="宋体" w:eastAsia="宋体" w:cs="宋体"/>
        </w:rPr>
        <w:t>本文件由渭南市农业农村局提出并归口。</w:t>
      </w:r>
    </w:p>
    <w:p w14:paraId="7E8D22D1">
      <w:pPr>
        <w:keepNext w:val="0"/>
        <w:keepLines w:val="0"/>
        <w:pageBreakBefore w:val="0"/>
        <w:widowControl w:val="0"/>
        <w:kinsoku/>
        <w:wordWrap/>
        <w:overflowPunct/>
        <w:topLinePunct w:val="0"/>
        <w:autoSpaceDE/>
        <w:autoSpaceDN/>
        <w:bidi w:val="0"/>
        <w:adjustRightInd/>
        <w:snapToGrid/>
        <w:spacing w:line="600" w:lineRule="auto"/>
        <w:ind w:firstLine="420" w:firstLineChars="200"/>
        <w:textAlignment w:val="auto"/>
        <w:rPr>
          <w:rFonts w:hint="eastAsia" w:ascii="宋体" w:hAnsi="宋体" w:eastAsia="宋体" w:cs="宋体"/>
        </w:rPr>
      </w:pPr>
      <w:r>
        <w:rPr>
          <w:rFonts w:hint="eastAsia" w:ascii="宋体" w:hAnsi="宋体" w:eastAsia="宋体" w:cs="宋体"/>
        </w:rPr>
        <w:t>本文件起草单位：澄城县果业发展中心、澄城县农业农村局。</w:t>
      </w:r>
    </w:p>
    <w:p w14:paraId="5849848E">
      <w:pPr>
        <w:keepNext w:val="0"/>
        <w:keepLines w:val="0"/>
        <w:pageBreakBefore w:val="0"/>
        <w:widowControl w:val="0"/>
        <w:kinsoku/>
        <w:wordWrap/>
        <w:overflowPunct/>
        <w:topLinePunct w:val="0"/>
        <w:autoSpaceDE/>
        <w:autoSpaceDN/>
        <w:bidi w:val="0"/>
        <w:adjustRightInd/>
        <w:snapToGrid/>
        <w:spacing w:line="600" w:lineRule="auto"/>
        <w:ind w:firstLine="420" w:firstLineChars="200"/>
        <w:textAlignment w:val="auto"/>
        <w:rPr>
          <w:rFonts w:hint="default" w:ascii="宋体" w:hAnsi="宋体" w:eastAsia="宋体" w:cs="宋体"/>
          <w:lang w:val="en-US" w:eastAsia="zh-CN"/>
        </w:rPr>
      </w:pPr>
      <w:r>
        <w:rPr>
          <w:rFonts w:hint="eastAsia" w:ascii="宋体" w:hAnsi="宋体" w:eastAsia="宋体" w:cs="宋体"/>
        </w:rPr>
        <w:t>本文件主要起草人：董斌芳、</w:t>
      </w:r>
      <w:r>
        <w:rPr>
          <w:rFonts w:hint="eastAsia" w:ascii="宋体" w:hAnsi="宋体" w:eastAsia="宋体" w:cs="宋体"/>
          <w:lang w:val="en-US" w:eastAsia="zh-CN"/>
        </w:rPr>
        <w:t>陈梅</w:t>
      </w:r>
      <w:r>
        <w:rPr>
          <w:rFonts w:hint="eastAsia" w:ascii="宋体" w:hAnsi="宋体" w:eastAsia="宋体" w:cs="宋体"/>
        </w:rPr>
        <w:t>、</w:t>
      </w:r>
      <w:r>
        <w:rPr>
          <w:rFonts w:hint="eastAsia" w:ascii="宋体" w:hAnsi="宋体" w:eastAsia="宋体" w:cs="宋体"/>
          <w:lang w:val="en-US" w:eastAsia="zh-CN"/>
        </w:rPr>
        <w:t>庄变芳、杨文丽、</w:t>
      </w:r>
      <w:bookmarkStart w:id="0" w:name="_GoBack"/>
      <w:bookmarkEnd w:id="0"/>
      <w:r>
        <w:rPr>
          <w:rFonts w:hint="eastAsia" w:ascii="宋体" w:hAnsi="宋体" w:eastAsia="宋体" w:cs="宋体"/>
          <w:lang w:val="en-US" w:eastAsia="zh-CN"/>
        </w:rPr>
        <w:t>王乐涛、</w:t>
      </w:r>
      <w:r>
        <w:rPr>
          <w:rFonts w:hint="eastAsia" w:ascii="宋体" w:hAnsi="宋体" w:eastAsia="宋体" w:cs="宋体"/>
        </w:rPr>
        <w:t>杨玉侠</w:t>
      </w:r>
      <w:r>
        <w:rPr>
          <w:rFonts w:hint="eastAsia" w:ascii="宋体" w:hAnsi="宋体" w:eastAsia="宋体" w:cs="宋体"/>
          <w:lang w:eastAsia="zh-CN"/>
        </w:rPr>
        <w:t>、</w:t>
      </w:r>
      <w:r>
        <w:rPr>
          <w:rFonts w:hint="eastAsia" w:ascii="宋体" w:hAnsi="宋体" w:eastAsia="宋体" w:cs="宋体"/>
        </w:rPr>
        <w:t>薛嘉明</w:t>
      </w:r>
      <w:r>
        <w:rPr>
          <w:rFonts w:hint="eastAsia" w:ascii="宋体" w:hAnsi="宋体" w:eastAsia="宋体" w:cs="宋体"/>
          <w:lang w:eastAsia="zh-CN"/>
        </w:rPr>
        <w:t>、</w:t>
      </w:r>
      <w:r>
        <w:rPr>
          <w:rFonts w:hint="eastAsia" w:ascii="宋体" w:hAnsi="宋体" w:eastAsia="宋体" w:cs="宋体"/>
        </w:rPr>
        <w:t>张瑶</w:t>
      </w:r>
      <w:r>
        <w:rPr>
          <w:rFonts w:hint="eastAsia" w:ascii="宋体" w:hAnsi="宋体" w:eastAsia="宋体" w:cs="宋体"/>
          <w:lang w:eastAsia="zh-CN"/>
        </w:rPr>
        <w:t>、</w:t>
      </w:r>
      <w:r>
        <w:rPr>
          <w:rFonts w:hint="eastAsia" w:ascii="宋体" w:hAnsi="宋体" w:eastAsia="宋体" w:cs="宋体"/>
          <w:lang w:val="en-US" w:eastAsia="zh-CN"/>
        </w:rPr>
        <w:t>刘乾坤、</w:t>
      </w:r>
      <w:r>
        <w:rPr>
          <w:rFonts w:hint="eastAsia" w:ascii="宋体" w:hAnsi="宋体" w:eastAsia="宋体" w:cs="宋体"/>
        </w:rPr>
        <w:t>柴仰丽、宁莎莎</w:t>
      </w:r>
      <w:r>
        <w:rPr>
          <w:rFonts w:hint="eastAsia" w:ascii="宋体" w:hAnsi="宋体" w:eastAsia="宋体" w:cs="宋体"/>
          <w:lang w:eastAsia="zh-CN"/>
        </w:rPr>
        <w:t>、</w:t>
      </w:r>
      <w:r>
        <w:rPr>
          <w:rFonts w:hint="eastAsia" w:ascii="宋体" w:hAnsi="宋体" w:eastAsia="宋体" w:cs="宋体"/>
          <w:lang w:val="en-US" w:eastAsia="zh-CN"/>
        </w:rPr>
        <w:t>习云龙、简江卫</w:t>
      </w:r>
    </w:p>
    <w:p w14:paraId="023E433D">
      <w:pPr>
        <w:keepNext w:val="0"/>
        <w:keepLines w:val="0"/>
        <w:pageBreakBefore w:val="0"/>
        <w:widowControl w:val="0"/>
        <w:kinsoku/>
        <w:wordWrap/>
        <w:overflowPunct/>
        <w:topLinePunct w:val="0"/>
        <w:autoSpaceDE/>
        <w:autoSpaceDN/>
        <w:bidi w:val="0"/>
        <w:adjustRightInd/>
        <w:snapToGrid/>
        <w:spacing w:line="600" w:lineRule="auto"/>
        <w:ind w:firstLine="420" w:firstLineChars="200"/>
        <w:textAlignment w:val="auto"/>
        <w:rPr>
          <w:rFonts w:hint="eastAsia" w:ascii="宋体" w:hAnsi="宋体" w:eastAsia="宋体" w:cs="宋体"/>
        </w:rPr>
      </w:pPr>
      <w:r>
        <w:rPr>
          <w:rFonts w:hint="eastAsia" w:ascii="宋体" w:hAnsi="宋体" w:eastAsia="宋体" w:cs="宋体"/>
        </w:rPr>
        <w:t>本文件为首次发布。</w:t>
      </w:r>
    </w:p>
    <w:p w14:paraId="5A97A9BC">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7C387532">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4D897F8B">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26AC031A">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4A6F7790">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5160EB0C">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7C57666C">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5F48E25C">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4D8961D9">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452AB4C0">
      <w:pPr>
        <w:keepNext w:val="0"/>
        <w:keepLines w:val="0"/>
        <w:widowControl/>
        <w:suppressLineNumbers w:val="0"/>
        <w:jc w:val="center"/>
        <w:rPr>
          <w:rFonts w:hint="eastAsia" w:ascii="黑体" w:hAnsi="宋体" w:eastAsia="黑体" w:cs="黑体"/>
          <w:color w:val="000000"/>
          <w:kern w:val="0"/>
          <w:sz w:val="40"/>
          <w:szCs w:val="40"/>
          <w:lang w:val="en-US" w:eastAsia="zh-CN" w:bidi="ar"/>
        </w:rPr>
      </w:pPr>
    </w:p>
    <w:p w14:paraId="73860734">
      <w:pPr>
        <w:keepNext w:val="0"/>
        <w:keepLines w:val="0"/>
        <w:widowControl/>
        <w:suppressLineNumbers w:val="0"/>
        <w:jc w:val="center"/>
        <w:rPr>
          <w:sz w:val="28"/>
          <w:szCs w:val="36"/>
        </w:rPr>
      </w:pPr>
      <w:r>
        <w:rPr>
          <w:rFonts w:ascii="黑体" w:hAnsi="宋体" w:eastAsia="黑体" w:cs="黑体"/>
          <w:color w:val="000000"/>
          <w:kern w:val="0"/>
          <w:sz w:val="40"/>
          <w:szCs w:val="40"/>
          <w:lang w:val="en-US" w:eastAsia="zh-CN" w:bidi="ar"/>
        </w:rPr>
        <w:t>樱桃果蝇综合防治技术规程</w:t>
      </w:r>
    </w:p>
    <w:p w14:paraId="22E259F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1 范围 </w:t>
      </w:r>
    </w:p>
    <w:p w14:paraId="4C4E5C07">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本文件规定了甜樱桃园果蝇的防治原则、农业防治、物理防治、生物防治及化学防治。 </w:t>
      </w:r>
    </w:p>
    <w:p w14:paraId="644DE257">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本文件适用于甜樱桃园果蝇的综合防治。 </w:t>
      </w:r>
    </w:p>
    <w:p w14:paraId="4CA7746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2 规范性引用文件 </w:t>
      </w:r>
    </w:p>
    <w:p w14:paraId="7F38E83F">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下列文件中的内容通过文中的规范性引用而构成本文件必不可少的条款。其中，注日期的引用文件，仅该日期对应的版本适用于本文件；不注日期的引用文件，其最新版本（包括所有的修改单）适用于本文件。 </w:t>
      </w:r>
    </w:p>
    <w:p w14:paraId="034B1CA2">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DB 2102/T 0068-2023  甜樱桃果蝇综合防治技术规程 </w:t>
      </w:r>
    </w:p>
    <w:p w14:paraId="69C6651C">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DB 6102/T 101-2019  大樱桃果蝇生态防治技术规程</w:t>
      </w:r>
    </w:p>
    <w:p w14:paraId="543402B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3 术语与定义 </w:t>
      </w:r>
    </w:p>
    <w:p w14:paraId="770E21D8">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本文件没有需要界定的术语和定义。 </w:t>
      </w:r>
    </w:p>
    <w:p w14:paraId="05E5D94D">
      <w:pPr>
        <w:keepNext w:val="0"/>
        <w:keepLines w:val="0"/>
        <w:pageBreakBefore w:val="0"/>
        <w:widowControl/>
        <w:suppressLineNumbers w:val="0"/>
        <w:kinsoku/>
        <w:wordWrap/>
        <w:overflowPunct/>
        <w:topLinePunct w:val="0"/>
        <w:autoSpaceDE/>
        <w:autoSpaceDN/>
        <w:bidi w:val="0"/>
        <w:adjustRightInd/>
        <w:snapToGrid/>
        <w:spacing w:line="460" w:lineRule="exact"/>
        <w:ind w:firstLine="0" w:firstLineChars="0"/>
        <w:jc w:val="left"/>
        <w:textAlignment w:val="auto"/>
        <w:rPr>
          <w:rFonts w:hint="eastAsia" w:ascii="黑体" w:hAnsi="宋体" w:eastAsia="黑体" w:cs="黑体"/>
          <w:color w:val="000000"/>
          <w:kern w:val="0"/>
          <w:sz w:val="28"/>
          <w:szCs w:val="28"/>
          <w:lang w:val="en-US" w:eastAsia="zh-CN" w:bidi="ar"/>
        </w:rPr>
      </w:pPr>
      <w:r>
        <w:rPr>
          <w:rFonts w:hint="eastAsia" w:ascii="黑体" w:hAnsi="宋体" w:eastAsia="黑体" w:cs="黑体"/>
          <w:color w:val="000000"/>
          <w:kern w:val="0"/>
          <w:sz w:val="28"/>
          <w:szCs w:val="28"/>
          <w:lang w:val="en-US" w:eastAsia="zh-CN" w:bidi="ar"/>
        </w:rPr>
        <w:t>4.常见果蝇</w:t>
      </w:r>
    </w:p>
    <w:p w14:paraId="13DEAA59">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目前国内危害樱桃的果蝇主要有三种：黑腹果蝇,铃木氏果蝇又名斑翅果蝇，海德氏果蝇。比较常见的为铃木氏果蝇,多数种类以腐烂的果实为食物。</w:t>
      </w:r>
    </w:p>
    <w:p w14:paraId="2676AA7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5 防治原则 </w:t>
      </w:r>
    </w:p>
    <w:p w14:paraId="181283B4">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贯彻“预防为主，综合防治”的植保方针，早</w:t>
      </w:r>
      <w:r>
        <w:rPr>
          <w:rFonts w:hint="eastAsia"/>
          <w:lang w:val="en-US" w:eastAsia="zh-CN"/>
        </w:rPr>
        <w:t>预测，早预防</w:t>
      </w:r>
      <w:r>
        <w:rPr>
          <w:rFonts w:hint="eastAsia" w:ascii="宋体" w:hAnsi="宋体" w:eastAsia="宋体" w:cs="宋体"/>
          <w:color w:val="000000"/>
          <w:kern w:val="0"/>
          <w:sz w:val="28"/>
          <w:szCs w:val="28"/>
          <w:lang w:val="en-US" w:eastAsia="zh-CN" w:bidi="ar"/>
        </w:rPr>
        <w:t xml:space="preserve">.采用农业、物理、生物和化学等综合防治方法降低果蝇的发生量与危害程度。 </w:t>
      </w:r>
    </w:p>
    <w:p w14:paraId="7E819BD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6 农业防治 </w:t>
      </w:r>
    </w:p>
    <w:p w14:paraId="0FC08FD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6.1 配置品种 </w:t>
      </w:r>
    </w:p>
    <w:p w14:paraId="0456F7B3">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根据地域发展及市场需求，品种配置应符合以下规定： </w:t>
      </w:r>
    </w:p>
    <w:p w14:paraId="35000477">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——配置种植中早熟品种，避开果蝇的高发期； </w:t>
      </w:r>
    </w:p>
    <w:p w14:paraId="6F511319">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——合理规划同一园区栽种不同熟期的品种，早中晚熟品种分区域栽植。 </w:t>
      </w:r>
    </w:p>
    <w:p w14:paraId="7F96D45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6.2 适期采收 </w:t>
      </w:r>
    </w:p>
    <w:p w14:paraId="36DA816C">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果实成熟后及时采收，清理落地果、裂果、病虫果及其它残次果，带出园外集中深埋。 </w:t>
      </w:r>
    </w:p>
    <w:p w14:paraId="2FC8FCA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6.3 清洁田园 </w:t>
      </w:r>
    </w:p>
    <w:p w14:paraId="0DF5319B">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按以下要求进行： </w:t>
      </w:r>
    </w:p>
    <w:p w14:paraId="4F8E6F8F">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——成熟期和采收期及时清除腐烂果实； </w:t>
      </w:r>
    </w:p>
    <w:p w14:paraId="786993B2">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——定期清除果园及果库周边的枯枝杂草、烂果；</w:t>
      </w:r>
    </w:p>
    <w:p w14:paraId="7A5F7754">
      <w:pPr>
        <w:keepNext w:val="0"/>
        <w:keepLines w:val="0"/>
        <w:pageBreakBefore w:val="0"/>
        <w:widowControl/>
        <w:suppressLineNumbers w:val="0"/>
        <w:kinsoku/>
        <w:wordWrap/>
        <w:overflowPunct/>
        <w:topLinePunct w:val="0"/>
        <w:autoSpaceDE/>
        <w:autoSpaceDN/>
        <w:bidi w:val="0"/>
        <w:adjustRightInd/>
        <w:snapToGrid/>
        <w:spacing w:line="460" w:lineRule="exact"/>
        <w:ind w:firstLine="0" w:firstLineChars="0"/>
        <w:jc w:val="left"/>
        <w:textAlignment w:val="auto"/>
        <w:rPr>
          <w:rFonts w:hint="default" w:ascii="黑体" w:hAnsi="宋体" w:eastAsia="黑体" w:cs="黑体"/>
          <w:color w:val="000000"/>
          <w:kern w:val="0"/>
          <w:sz w:val="28"/>
          <w:szCs w:val="28"/>
          <w:lang w:val="en-US" w:eastAsia="zh-CN" w:bidi="ar"/>
        </w:rPr>
      </w:pPr>
      <w:r>
        <w:rPr>
          <w:rFonts w:hint="eastAsia" w:ascii="黑体" w:hAnsi="宋体" w:eastAsia="黑体" w:cs="黑体"/>
          <w:color w:val="000000"/>
          <w:kern w:val="0"/>
          <w:sz w:val="28"/>
          <w:szCs w:val="28"/>
          <w:lang w:val="en-US" w:eastAsia="zh-CN" w:bidi="ar"/>
        </w:rPr>
        <w:t>6.4 降低越冬虫口基数</w:t>
      </w:r>
    </w:p>
    <w:p w14:paraId="1D05D6F1">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落叶后进行全园浅翻，深度 10 cm～20 cm。 </w:t>
      </w:r>
    </w:p>
    <w:p w14:paraId="65404C5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7 物理防治 </w:t>
      </w:r>
    </w:p>
    <w:p w14:paraId="4B6AF28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7.1 糖醋液诱杀 </w:t>
      </w:r>
    </w:p>
    <w:p w14:paraId="22212CD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7.1.1 诱捕器设置 </w:t>
      </w:r>
    </w:p>
    <w:p w14:paraId="79AA62FC">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甜樱桃转色期每667 ㎡设置6个～8个糖醋液诱捕器，阳面1.2 m～1.5m,两两间隔8 m～10 m，也可根据实际果蝇发生量增加诱捕器数量。糖醋诱剂的使用量在诱捕器中以3 cm～5 cm深度为宜。 </w:t>
      </w:r>
    </w:p>
    <w:p w14:paraId="5EDEAF6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7.1.2 诱捕液配制 </w:t>
      </w:r>
    </w:p>
    <w:p w14:paraId="2672649B">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糖醋液配制质量比例是糖：醋：酒：水：4.5%氯氰菊酯乳油：香蕉片（1:3:1:6:0.1:1）,间隔3d～5d更换。 </w:t>
      </w:r>
    </w:p>
    <w:p w14:paraId="5445D18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2"/>
          <w:szCs w:val="22"/>
          <w:lang w:val="en-US" w:eastAsia="zh-CN" w:bidi="ar"/>
        </w:rPr>
        <w:t>.</w:t>
      </w:r>
      <w:r>
        <w:rPr>
          <w:rFonts w:hint="eastAsia" w:ascii="黑体" w:hAnsi="宋体" w:eastAsia="黑体" w:cs="黑体"/>
          <w:color w:val="000000"/>
          <w:kern w:val="0"/>
          <w:sz w:val="28"/>
          <w:szCs w:val="28"/>
          <w:lang w:val="en-US" w:eastAsia="zh-CN" w:bidi="ar"/>
        </w:rPr>
        <w:t xml:space="preserve">7.3 果实套袋 </w:t>
      </w:r>
    </w:p>
    <w:p w14:paraId="6B99AF0B">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在果实黄化期套纸袋，纸质果袋应符合GB/T 19341的要求。 </w:t>
      </w:r>
    </w:p>
    <w:p w14:paraId="7D3D9C6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7.4 粘蝇板诱杀 </w:t>
      </w:r>
    </w:p>
    <w:p w14:paraId="3633110D">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果实转色期，在树上悬挂粘蝇板诱杀成虫。 </w:t>
      </w:r>
    </w:p>
    <w:p w14:paraId="7860B35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8 生物防治 </w:t>
      </w:r>
    </w:p>
    <w:p w14:paraId="52D9128B">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从果实转色期至采收期，选用短稳杆菌100亿孢子/ml悬浮剂800倍～1000倍液喷施果树全树和地面，用药期间隔7d以上。 </w:t>
      </w:r>
    </w:p>
    <w:p w14:paraId="1C8ED6D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9 化学防治 </w:t>
      </w:r>
    </w:p>
    <w:p w14:paraId="7E04922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9.1 早期防治 </w:t>
      </w:r>
    </w:p>
    <w:p w14:paraId="57E38A76">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结合春季清园，选用4.5%高效氯氰菊酯乳油1500倍液、2%阿维菌素乳油2000倍液喷施果树和地面。 </w:t>
      </w:r>
    </w:p>
    <w:p w14:paraId="6ECB879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9.2 转色期防治 </w:t>
      </w:r>
    </w:p>
    <w:p w14:paraId="2E4439FC">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sz w:val="28"/>
          <w:szCs w:val="36"/>
        </w:rPr>
      </w:pPr>
      <w:r>
        <w:rPr>
          <w:rFonts w:hint="eastAsia" w:ascii="宋体" w:hAnsi="宋体" w:eastAsia="宋体" w:cs="宋体"/>
          <w:color w:val="000000"/>
          <w:kern w:val="0"/>
          <w:sz w:val="28"/>
          <w:szCs w:val="28"/>
          <w:lang w:val="en-US" w:eastAsia="zh-CN" w:bidi="ar"/>
        </w:rPr>
        <w:t xml:space="preserve">甜樱桃进入转色时期，选用31%阿维灭蝇胺悬浮剂2000倍、4.5%高效氯氰菊酯乳油1500倍液混合均匀喷施果树和果园地面。 </w:t>
      </w:r>
    </w:p>
    <w:p w14:paraId="526F8DC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sz w:val="28"/>
          <w:szCs w:val="36"/>
        </w:rPr>
      </w:pPr>
      <w:r>
        <w:rPr>
          <w:rFonts w:hint="eastAsia" w:ascii="黑体" w:hAnsi="宋体" w:eastAsia="黑体" w:cs="黑体"/>
          <w:color w:val="000000"/>
          <w:kern w:val="0"/>
          <w:sz w:val="28"/>
          <w:szCs w:val="28"/>
          <w:lang w:val="en-US" w:eastAsia="zh-CN" w:bidi="ar"/>
        </w:rPr>
        <w:t xml:space="preserve">9.3 采收后防治 </w:t>
      </w:r>
    </w:p>
    <w:p w14:paraId="0B2522AA">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采收结束后一周内，傍晚集中喷药防治。选用2.5%联苯菊酯3000倍～4000倍液、5%甲维盐6000倍～8000倍液、5%氟啶脲1000倍～2000倍液混合喷施全园。 </w:t>
      </w:r>
    </w:p>
    <w:p w14:paraId="2DC97893">
      <w:pPr>
        <w:keepNext w:val="0"/>
        <w:keepLines w:val="0"/>
        <w:pageBreakBefore w:val="0"/>
        <w:widowControl/>
        <w:suppressLineNumbers w:val="0"/>
        <w:kinsoku/>
        <w:wordWrap/>
        <w:overflowPunct/>
        <w:topLinePunct w:val="0"/>
        <w:autoSpaceDE/>
        <w:autoSpaceDN/>
        <w:bidi w:val="0"/>
        <w:adjustRightInd/>
        <w:snapToGrid/>
        <w:spacing w:line="460" w:lineRule="exact"/>
        <w:ind w:firstLine="0" w:firstLineChars="0"/>
        <w:jc w:val="left"/>
        <w:textAlignment w:val="auto"/>
        <w:rPr>
          <w:rFonts w:hint="eastAsia" w:ascii="黑体" w:hAnsi="宋体" w:eastAsia="黑体" w:cs="黑体"/>
          <w:color w:val="000000"/>
          <w:kern w:val="0"/>
          <w:sz w:val="28"/>
          <w:szCs w:val="28"/>
          <w:lang w:val="en-US" w:eastAsia="zh-CN" w:bidi="ar"/>
        </w:rPr>
      </w:pPr>
      <w:r>
        <w:rPr>
          <w:rFonts w:hint="eastAsia" w:ascii="黑体" w:hAnsi="宋体" w:eastAsia="黑体" w:cs="黑体"/>
          <w:color w:val="000000"/>
          <w:kern w:val="0"/>
          <w:sz w:val="28"/>
          <w:szCs w:val="28"/>
          <w:lang w:val="en-US" w:eastAsia="zh-CN" w:bidi="ar"/>
        </w:rPr>
        <w:t>10 统防统治</w:t>
      </w:r>
    </w:p>
    <w:p w14:paraId="3D618063">
      <w:pPr>
        <w:keepNext w:val="0"/>
        <w:keepLines w:val="0"/>
        <w:pageBreakBefore w:val="0"/>
        <w:widowControl/>
        <w:suppressLineNumbers w:val="0"/>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建议集中连片果园，各项措施要求统一实施，预防为主、统防统治，确保防治效果。</w:t>
      </w:r>
    </w:p>
    <w:p w14:paraId="3CF1202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黑体" w:hAnsi="宋体" w:eastAsia="黑体" w:cs="黑体"/>
          <w:color w:val="000000"/>
          <w:kern w:val="0"/>
          <w:sz w:val="44"/>
          <w:szCs w:val="44"/>
          <w:lang w:val="en-US" w:eastAsia="zh-CN" w:bidi="ar"/>
        </w:rPr>
      </w:pPr>
    </w:p>
    <w:p w14:paraId="5DB430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exact"/>
        <w:ind w:left="0" w:right="0" w:firstLine="420"/>
        <w:jc w:val="both"/>
        <w:rPr>
          <w:rFonts w:hint="default" w:ascii="微软雅黑" w:hAnsi="微软雅黑" w:eastAsia="微软雅黑" w:cs="微软雅黑"/>
          <w:kern w:val="0"/>
          <w:sz w:val="24"/>
          <w:szCs w:val="24"/>
          <w:lang w:val="en-US" w:eastAsia="zh-CN" w:bidi="ar"/>
        </w:rPr>
      </w:pPr>
    </w:p>
    <w:p w14:paraId="6176725A"/>
    <w:p w14:paraId="68B1B391"/>
    <w:p w14:paraId="64DE3F9E"/>
    <w:p w14:paraId="67170507"/>
    <w:p w14:paraId="03A6652D"/>
    <w:p w14:paraId="5FBDE4B0"/>
    <w:p w14:paraId="21EB3FCB"/>
    <w:p w14:paraId="1B9251F6"/>
    <w:p w14:paraId="52C9BD4E"/>
    <w:p w14:paraId="024463CF"/>
    <w:p w14:paraId="66894F99"/>
    <w:p w14:paraId="688A5622"/>
    <w:p w14:paraId="23F9BEF3"/>
    <w:p w14:paraId="2B11F037"/>
    <w:p w14:paraId="0663D217"/>
    <w:p w14:paraId="3D5B7D9B"/>
    <w:p w14:paraId="6E8CD2EF"/>
    <w:p w14:paraId="0281D4EB"/>
    <w:p w14:paraId="213F43F1"/>
    <w:p w14:paraId="76A445B6"/>
    <w:p w14:paraId="7C07D9AE"/>
    <w:p w14:paraId="16DFF77E"/>
    <w:p w14:paraId="36AFA402"/>
    <w:p w14:paraId="02F45E13"/>
    <w:p w14:paraId="0C77DE26"/>
    <w:p w14:paraId="697DBB03"/>
    <w:p w14:paraId="55BA4EBE"/>
    <w:p w14:paraId="63E1A9D2"/>
    <w:p w14:paraId="3E1AB002"/>
    <w:p w14:paraId="57F0EFF6">
      <w:pPr>
        <w:rPr>
          <w:rFonts w:hint="eastAsia" w:ascii="仿宋_GB2312" w:hAnsi="仿宋_GB2312" w:eastAsia="仿宋_GB2312" w:cs="仿宋_GB2312"/>
          <w:color w:val="FF0000"/>
          <w:spacing w:val="6"/>
          <w:kern w:val="0"/>
          <w:sz w:val="24"/>
          <w:szCs w:val="24"/>
          <w:lang w:val="en-US" w:eastAsia="zh-CN" w:bidi="ar-SA"/>
        </w:rPr>
      </w:pPr>
      <w:r>
        <w:rPr>
          <w:rFonts w:hint="eastAsia" w:ascii="仿宋_GB2312" w:hAnsi="仿宋_GB2312" w:eastAsia="仿宋_GB2312" w:cs="仿宋_GB2312"/>
          <w:color w:val="FF0000"/>
          <w:spacing w:val="6"/>
          <w:kern w:val="0"/>
          <w:sz w:val="24"/>
          <w:szCs w:val="24"/>
          <w:lang w:val="en-US" w:eastAsia="zh-CN" w:bidi="ar-SA"/>
        </w:rPr>
        <w:t>附录A(资料性附录)樱桃果蝇</w:t>
      </w:r>
    </w:p>
    <w:p w14:paraId="4CAAA24F">
      <w:pPr>
        <w:rPr>
          <w:rFonts w:hint="eastAsia" w:ascii="仿宋_GB2312" w:hAnsi="仿宋_GB2312" w:eastAsia="仿宋_GB2312" w:cs="仿宋_GB2312"/>
          <w:color w:val="FF0000"/>
          <w:spacing w:val="6"/>
          <w:kern w:val="0"/>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pStyle w:val="9"/>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42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4ODI5ZTU3MmYyOGMyMzBhZjlhYjQyYzUxOWNiOTQifQ=="/>
  </w:docVars>
  <w:rsids>
    <w:rsidRoot w:val="4C954D27"/>
    <w:rsid w:val="10654A7E"/>
    <w:rsid w:val="1B2343F4"/>
    <w:rsid w:val="28190D59"/>
    <w:rsid w:val="3AB13911"/>
    <w:rsid w:val="4C954D27"/>
    <w:rsid w:val="517601D9"/>
    <w:rsid w:val="6B445B5A"/>
    <w:rsid w:val="76AB75C4"/>
    <w:rsid w:val="78FD1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paragraph" w:customStyle="1" w:styleId="7">
    <w:name w:val="Table Text"/>
    <w:basedOn w:val="1"/>
    <w:autoRedefine/>
    <w:semiHidden/>
    <w:qFormat/>
    <w:uiPriority w:val="0"/>
    <w:rPr>
      <w:rFonts w:ascii="Arial" w:hAnsi="Arial" w:eastAsia="Arial" w:cs="Arial"/>
      <w:sz w:val="21"/>
      <w:szCs w:val="21"/>
      <w:lang w:val="en-US" w:eastAsia="en-US" w:bidi="ar-SA"/>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1330</Words>
  <Characters>1646</Characters>
  <Lines>0</Lines>
  <Paragraphs>0</Paragraphs>
  <TotalTime>1</TotalTime>
  <ScaleCrop>false</ScaleCrop>
  <LinksUpToDate>false</LinksUpToDate>
  <CharactersWithSpaces>1877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2024-04-03T02:59:00Z</dcterms:created>
  <dc:creator>伊可人</dc:creator>
  <cp:lastModifiedBy>伊可人</cp:lastModifiedBy>
  <cp:lastPrinted>2024-07-26T01:15:00Z</cp:lastPrinted>
  <dcterms:modified xsi:type="dcterms:W3CDTF">2024-07-31T09:12:05Z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228B20B12F294C51AA38628D3CE804A3_11</vt:lpwstr>
  </property>
</Properties>
</file>