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附件5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渭南市小额贷款公司评价体系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一、指标体系及权重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1288"/>
        <w:gridCol w:w="752"/>
        <w:gridCol w:w="3297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指标类型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分项满分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定量指标</w:t>
            </w: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贷款金额</w:t>
            </w: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涉农及小微企业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贷款金额</w:t>
            </w: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涉农及小微企业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贷款户数</w:t>
            </w: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税收</w:t>
            </w:r>
          </w:p>
        </w:tc>
        <w:tc>
          <w:tcPr>
            <w:tcW w:w="32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对渭南市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县两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级作出的税收贡献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37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  <w:jc w:val="center"/>
        </w:trPr>
        <w:tc>
          <w:tcPr>
            <w:tcW w:w="204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依法合规</w:t>
            </w:r>
          </w:p>
        </w:tc>
        <w:tc>
          <w:tcPr>
            <w:tcW w:w="404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按照监管部门要求，每月按时保质上报数据，配合开展“双随机一公开”检查、年审等工作，对发现问题及时整改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37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7377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二、评分规则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（一）总分=各单项得分之和。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（二）除税收外的定量指标评分规则为：单项得分=单项满分×（单项指标值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分组单项指标最小值）/（分组单项指标最大值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（三）税收指标评分规则为：对渭南市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县两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级税收贡献在行业内排名居前5名的，计10分；排名6-8名的，计8分；排名8名以后的，计6分。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（四）依法合规指标评分规则为：按照监管部门要求，每月按时保质上报数据，配合开展“双随机一公开”检查、年审等工作，对发现问题及时整改的，计20分，有一项未达到要求的，扣2分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，最高扣20分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 xml:space="preserve">   </w:t>
      </w: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三、加分项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积极开展产品和业务创新，每创新一项，加2分，最多加10分。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渭南市小额贷款公司评价数据报送表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>填报单位（盖章）：           填报人：        联系电话：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688"/>
        <w:gridCol w:w="2906"/>
        <w:gridCol w:w="121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28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定量指标</w:t>
            </w:r>
          </w:p>
        </w:tc>
        <w:tc>
          <w:tcPr>
            <w:tcW w:w="1688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贷款金额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余额（万元）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增量（万元）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涉农及小微企业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贷款金额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余额（万元）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万元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涉农及小微企业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贷款户数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337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3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佐证资料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4F637F66"/>
    <w:rsid w:val="4F63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2023-03-21T09:56:00Z</dcterms:created>
  <dc:creator>　melody</dc:creator>
  <cp:lastModifiedBy>　melody</cp:lastModifiedBy>
  <dcterms:modified xsi:type="dcterms:W3CDTF">2023-03-21T09:56:21Z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2DAEB8EA1F614926BE68715D0E23DCC4</vt:lpwstr>
  </property>
</Properties>
</file>