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  <w:t>附件3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</w:pPr>
    </w:p>
    <w:p>
      <w:pPr>
        <w:pStyle w:val="2"/>
        <w:keepNext w:val="0"/>
        <w:keepLines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  <w:t>渭南市证券机构评价体系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both"/>
        <w:textAlignment w:val="auto"/>
        <w:rPr>
          <w:rFonts w:hint="default" w:ascii="Times New Roman" w:hAnsi="Times New Roman" w:eastAsia="CESI黑体-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  <w:t xml:space="preserve">  </w:t>
      </w:r>
      <w:r>
        <w:rPr>
          <w:rFonts w:hint="default" w:ascii="Times New Roman" w:hAnsi="Times New Roman" w:eastAsia="CESI黑体-GB2312" w:cs="Times New Roman"/>
          <w:b w:val="0"/>
          <w:bCs w:val="0"/>
          <w:color w:val="auto"/>
          <w:sz w:val="32"/>
          <w:szCs w:val="32"/>
          <w:lang w:val="en-US" w:eastAsia="zh-CN"/>
        </w:rPr>
        <w:t xml:space="preserve"> 一、指标体系及权重</w:t>
      </w:r>
    </w:p>
    <w:tbl>
      <w:tblPr>
        <w:tblStyle w:val="4"/>
        <w:tblpPr w:leftFromText="180" w:rightFromText="180" w:vertAnchor="text" w:horzAnchor="page" w:tblpXSpec="center" w:tblpY="110"/>
        <w:tblOverlap w:val="never"/>
        <w:tblW w:w="90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0"/>
        <w:gridCol w:w="1288"/>
        <w:gridCol w:w="752"/>
        <w:gridCol w:w="3177"/>
        <w:gridCol w:w="1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4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指标类型</w:t>
            </w:r>
          </w:p>
        </w:tc>
        <w:tc>
          <w:tcPr>
            <w:tcW w:w="2040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一级指标</w:t>
            </w:r>
          </w:p>
        </w:tc>
        <w:tc>
          <w:tcPr>
            <w:tcW w:w="317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二级指标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" w:eastAsia="zh-CN"/>
              </w:rPr>
            </w:pPr>
            <w:r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分项满分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40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定量指标</w:t>
            </w:r>
          </w:p>
        </w:tc>
        <w:tc>
          <w:tcPr>
            <w:tcW w:w="2040" w:type="dxa"/>
            <w:gridSpan w:val="2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开户数</w:t>
            </w:r>
          </w:p>
        </w:tc>
        <w:tc>
          <w:tcPr>
            <w:tcW w:w="317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总量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40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40" w:type="dxa"/>
            <w:gridSpan w:val="2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17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增量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40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40" w:type="dxa"/>
            <w:gridSpan w:val="2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17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增速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40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40" w:type="dxa"/>
            <w:gridSpan w:val="2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证券交易</w:t>
            </w:r>
          </w:p>
        </w:tc>
        <w:tc>
          <w:tcPr>
            <w:tcW w:w="317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余额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40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40" w:type="dxa"/>
            <w:gridSpan w:val="2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17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增量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40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40" w:type="dxa"/>
            <w:gridSpan w:val="2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17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增速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40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40" w:type="dxa"/>
            <w:gridSpan w:val="2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营业收入</w:t>
            </w:r>
          </w:p>
        </w:tc>
        <w:tc>
          <w:tcPr>
            <w:tcW w:w="317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总量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40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40" w:type="dxa"/>
            <w:gridSpan w:val="2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17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增量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40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40" w:type="dxa"/>
            <w:gridSpan w:val="2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17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增速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40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40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税收</w:t>
            </w:r>
          </w:p>
        </w:tc>
        <w:tc>
          <w:tcPr>
            <w:tcW w:w="317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对渭南市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县两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级作出的税收贡献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40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217" w:type="dxa"/>
            <w:gridSpan w:val="3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小计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exact"/>
          <w:jc w:val="center"/>
        </w:trPr>
        <w:tc>
          <w:tcPr>
            <w:tcW w:w="2040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定性指标</w:t>
            </w:r>
          </w:p>
        </w:tc>
        <w:tc>
          <w:tcPr>
            <w:tcW w:w="128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工作配合</w:t>
            </w:r>
          </w:p>
        </w:tc>
        <w:tc>
          <w:tcPr>
            <w:tcW w:w="3929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积极配合政府部门工作，开展企业上市融资服务，重大事项汇报及时、准确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40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8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中小投资者教育</w:t>
            </w:r>
          </w:p>
        </w:tc>
        <w:tc>
          <w:tcPr>
            <w:tcW w:w="3929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积极开展中小投资者教育活动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40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217" w:type="dxa"/>
            <w:gridSpan w:val="3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小计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257" w:type="dxa"/>
            <w:gridSpan w:val="4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合计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100</w:t>
            </w:r>
          </w:p>
        </w:tc>
      </w:tr>
    </w:tbl>
    <w:p>
      <w:pPr>
        <w:pStyle w:val="2"/>
        <w:keepNext w:val="0"/>
        <w:keepLines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CESI黑体-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CESI黑体-GB2312" w:cs="Times New Roman"/>
          <w:b w:val="0"/>
          <w:bCs w:val="0"/>
          <w:color w:val="auto"/>
          <w:sz w:val="32"/>
          <w:szCs w:val="32"/>
          <w:lang w:val="en-US" w:eastAsia="zh-CN"/>
        </w:rPr>
        <w:t>二、评分规则</w:t>
      </w:r>
    </w:p>
    <w:p>
      <w:pPr>
        <w:pStyle w:val="2"/>
        <w:keepNext w:val="0"/>
        <w:keepLines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（一）总分=各单项得分之和。</w:t>
      </w:r>
    </w:p>
    <w:p>
      <w:pPr>
        <w:pStyle w:val="2"/>
        <w:keepNext w:val="0"/>
        <w:keepLines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（二）除税收贡献外的定量指标评分规则为：单项得分=单项满分×（单项指标值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-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分组单项指标最小值）/（分组单项指标最大值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-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分组单项指标最小值）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。</w:t>
      </w:r>
    </w:p>
    <w:p>
      <w:pPr>
        <w:pStyle w:val="2"/>
        <w:keepNext w:val="0"/>
        <w:keepLines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（三）税收贡献指标评分规则为：对渭南市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县两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级税收贡献在行业内排名居前5名的，计10分；排名6-8名的，计8分；排名8名以后的，计6分。</w:t>
      </w:r>
    </w:p>
    <w:p>
      <w:pPr>
        <w:pStyle w:val="2"/>
        <w:keepNext w:val="0"/>
        <w:keepLines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（四）工作配合指标评分规则为：积极配合政府部门工作，每开展一次企业上市融资服务计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分，重大事项汇报及时、准确，累计不超过20分。对不积极配合工作、重大事项未及时汇报的视情扣分。</w:t>
      </w:r>
    </w:p>
    <w:p>
      <w:pPr>
        <w:pStyle w:val="2"/>
        <w:keepNext w:val="0"/>
        <w:keepLines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（五）中小投资者教育评分规则为：积极开展中小投资者教育活动，每开展1场教育活动计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分，累计不超过10分。</w:t>
      </w:r>
    </w:p>
    <w:p>
      <w:pPr>
        <w:pStyle w:val="2"/>
        <w:keepNext w:val="0"/>
        <w:keepLines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default" w:ascii="Times New Roman" w:hAnsi="Times New Roman" w:eastAsia="CESI黑体-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  <w:t xml:space="preserve">   </w:t>
      </w:r>
      <w:r>
        <w:rPr>
          <w:rFonts w:hint="default" w:ascii="Times New Roman" w:hAnsi="Times New Roman" w:eastAsia="CESI黑体-GB2312" w:cs="Times New Roman"/>
          <w:b w:val="0"/>
          <w:bCs w:val="0"/>
          <w:color w:val="auto"/>
          <w:sz w:val="32"/>
          <w:szCs w:val="32"/>
          <w:lang w:val="en-US" w:eastAsia="zh-CN"/>
        </w:rPr>
        <w:t>三、加分项</w:t>
      </w:r>
    </w:p>
    <w:p>
      <w:pPr>
        <w:pStyle w:val="2"/>
        <w:keepNext w:val="0"/>
        <w:keepLines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CESI黑体-GB2312" w:cs="Times New Roman"/>
          <w:b w:val="0"/>
          <w:bCs w:val="0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 xml:space="preserve"> 1.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" w:eastAsia="zh-CN"/>
        </w:rPr>
        <w:t xml:space="preserve"> 主动报送工作信息，被《渭南市金融工作简报》采用，每篇加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0.1分。</w:t>
      </w:r>
    </w:p>
    <w:p>
      <w:pPr>
        <w:pStyle w:val="2"/>
        <w:keepNext w:val="0"/>
        <w:keepLines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2. 在我市增设投行部门的，加5分。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</w:pP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  <w:t>渭南市证券机构评价数据报送表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28"/>
          <w:szCs w:val="28"/>
          <w:lang w:val="en-US" w:eastAsia="zh-CN"/>
        </w:rPr>
        <w:t xml:space="preserve">填报单位（盖章）：          填报人：       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28"/>
          <w:szCs w:val="28"/>
          <w:lang w:val="en-US" w:eastAsia="zh-CN"/>
        </w:rPr>
        <w:t xml:space="preserve"> 联系电话：</w:t>
      </w:r>
    </w:p>
    <w:tbl>
      <w:tblPr>
        <w:tblStyle w:val="4"/>
        <w:tblpPr w:leftFromText="180" w:rightFromText="180" w:vertAnchor="text" w:horzAnchor="page" w:tblpXSpec="center" w:tblpY="110"/>
        <w:tblOverlap w:val="never"/>
        <w:tblW w:w="90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3"/>
        <w:gridCol w:w="1365"/>
        <w:gridCol w:w="3437"/>
        <w:gridCol w:w="1562"/>
        <w:gridCol w:w="15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935" w:type="dxa"/>
            <w:gridSpan w:val="3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指标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一级指标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二级指标</w:t>
            </w:r>
          </w:p>
        </w:tc>
        <w:tc>
          <w:tcPr>
            <w:tcW w:w="156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" w:eastAsia="zh-CN"/>
              </w:rPr>
            </w:pPr>
            <w:r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数据</w:t>
            </w:r>
          </w:p>
        </w:tc>
        <w:tc>
          <w:tcPr>
            <w:tcW w:w="156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33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定量指标</w:t>
            </w:r>
          </w:p>
        </w:tc>
        <w:tc>
          <w:tcPr>
            <w:tcW w:w="1365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开户数</w:t>
            </w:r>
          </w:p>
        </w:tc>
        <w:tc>
          <w:tcPr>
            <w:tcW w:w="343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总量（户）</w:t>
            </w:r>
          </w:p>
        </w:tc>
        <w:tc>
          <w:tcPr>
            <w:tcW w:w="156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6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33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43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增量（户）</w:t>
            </w:r>
          </w:p>
        </w:tc>
        <w:tc>
          <w:tcPr>
            <w:tcW w:w="156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6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33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43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增速（%）</w:t>
            </w:r>
          </w:p>
        </w:tc>
        <w:tc>
          <w:tcPr>
            <w:tcW w:w="156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6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33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证券交易</w:t>
            </w:r>
          </w:p>
        </w:tc>
        <w:tc>
          <w:tcPr>
            <w:tcW w:w="343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余额（亿元）</w:t>
            </w:r>
          </w:p>
        </w:tc>
        <w:tc>
          <w:tcPr>
            <w:tcW w:w="156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6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33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43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增量（亿元）</w:t>
            </w:r>
          </w:p>
        </w:tc>
        <w:tc>
          <w:tcPr>
            <w:tcW w:w="156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6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33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43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增速（%）</w:t>
            </w:r>
          </w:p>
        </w:tc>
        <w:tc>
          <w:tcPr>
            <w:tcW w:w="156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6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33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营业收入</w:t>
            </w:r>
          </w:p>
        </w:tc>
        <w:tc>
          <w:tcPr>
            <w:tcW w:w="343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总量（万元）</w:t>
            </w:r>
          </w:p>
        </w:tc>
        <w:tc>
          <w:tcPr>
            <w:tcW w:w="156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6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33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43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增量（万元）</w:t>
            </w:r>
          </w:p>
        </w:tc>
        <w:tc>
          <w:tcPr>
            <w:tcW w:w="156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6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33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43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增速（%）</w:t>
            </w:r>
          </w:p>
        </w:tc>
        <w:tc>
          <w:tcPr>
            <w:tcW w:w="156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6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498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定性指标</w:t>
            </w:r>
          </w:p>
        </w:tc>
        <w:tc>
          <w:tcPr>
            <w:tcW w:w="6561" w:type="dxa"/>
            <w:gridSpan w:val="3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请报送工作总结，并附佐证资料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wZDgyMmIxMjdmZDBjMTQ0ZmNlZGMwMDg2ZDE0NWMifQ=="/>
  </w:docVars>
  <w:rsids>
    <w:rsidRoot w:val="30CC0FFE"/>
    <w:rsid w:val="30CC0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2023-03-21T09:54:00Z</dcterms:created>
  <dc:creator>　melody</dc:creator>
  <cp:lastModifiedBy>　melody</cp:lastModifiedBy>
  <dcterms:modified xsi:type="dcterms:W3CDTF">2023-03-21T09:55:05Z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D15F18102DB342B8B2811789E38E1723</vt:lpwstr>
  </property>
</Properties>
</file>