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bookmarkEnd w:id="0"/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第一季度政府网站检查情况汇总表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（检查时间：2月13日—2月23日）</w:t>
      </w:r>
    </w:p>
    <w:tbl>
      <w:tblPr>
        <w:tblStyle w:val="2"/>
        <w:tblW w:w="8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2"/>
        <w:gridCol w:w="2484"/>
        <w:gridCol w:w="2148"/>
        <w:gridCol w:w="3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4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网站名称</w:t>
            </w:r>
          </w:p>
        </w:tc>
        <w:tc>
          <w:tcPr>
            <w:tcW w:w="2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合格/不合格</w:t>
            </w:r>
          </w:p>
        </w:tc>
        <w:tc>
          <w:tcPr>
            <w:tcW w:w="314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突出问题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82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蒲城县人民政府</w:t>
            </w:r>
          </w:p>
        </w:tc>
        <w:tc>
          <w:tcPr>
            <w:tcW w:w="214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314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网站地图多处链接错误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富平县人民政府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“依申请公开”建设不规范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；网站地图链接错误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无“网站地图”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渭南市农业农村局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个别栏目更新不及时；依申请公开表格错误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渭南市商务局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个别栏目更新不及时；依申请公开表格错误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渭南市文化和旅游局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eastAsia="zh-CN" w:bidi="ar-SA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不合格 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多个栏目更新不及时；依申请公开表格错误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不合格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未链接政务服务网；多个栏目长期不更新；存在链接错误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网站地图链接有误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渭南市公共资源交易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不合格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多个栏目空白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渭南市供销合作社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存在空白栏目、错误链接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韩城市人力资源和社会保障局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多个栏目长期未更新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韩城市农业农村局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多个栏目更新不及时；多处错误链接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82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韩城市财政局</w:t>
            </w:r>
          </w:p>
        </w:tc>
        <w:tc>
          <w:tcPr>
            <w:tcW w:w="21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不合格</w:t>
            </w:r>
          </w:p>
        </w:tc>
        <w:tc>
          <w:tcPr>
            <w:tcW w:w="3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多个栏目长期未更新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NTlkNzlkZDM1YTIyOWYzOGQ5MzZkYjQ5MDk1ZGQifQ=="/>
  </w:docVars>
  <w:rsids>
    <w:rsidRoot w:val="67AE5F45"/>
    <w:rsid w:val="67AE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2023-02-28T08:46:00Z</dcterms:created>
  <dc:creator>YI`-</dc:creator>
  <cp:lastModifiedBy>YI`-</cp:lastModifiedBy>
  <dcterms:modified xsi:type="dcterms:W3CDTF">2023-02-28T08:47:20Z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957C89AA1DA644CFB06DFF2A5DB044EA</vt:lpwstr>
  </property>
</Properties>
</file>