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37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259"/>
        <w:gridCol w:w="2743"/>
        <w:gridCol w:w="1440"/>
        <w:gridCol w:w="2835"/>
        <w:gridCol w:w="1335"/>
        <w:gridCol w:w="384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0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第四季度政务新媒体抽查情况汇总表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（抽查时间11月11日-11月20日）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类型（政府/部门/乡镇）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主办单位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新媒体名称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合格/不合格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政府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白水县人民政府办公室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企鹅号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白水发布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两周内未更新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政府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白水县人民政府办公室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今日头条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白水发布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两周内未更新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政府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渭南经开区管委会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渭南经开区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政府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渭南经开区管委会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抖音号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渭南经开区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渭南市商务局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今日头条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渭南商务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两周内未更新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渭南市林业局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渭南林业网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渭南市统计局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渭南统计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渭南市统计局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抖音号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渭南市统计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渭南市住房公积金管理中心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渭南公积金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公众号无消息推送只是链接网站、微博更新时间跨度太大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渭南市司法局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法润渭南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微信公众号“普法广场”“普法助手”打不开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渭南市文化和旅游局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渭南市旅游局       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微博认证：名称与机该后有出入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市公安局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渭南市公安局环食药侦支队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最近更细日期为10.17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华阴市公安局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华阴市公安局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澄城县公安局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古徵警训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长时间未更新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大荔县公安局指挥中心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微博、微信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大荔公安      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微信两周内无更新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B127F"/>
    <w:rsid w:val="347B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2019-12-31T08:09:00Z</dcterms:created>
  <dc:creator>午夜阳光1390285921</dc:creator>
  <cp:lastModifiedBy>午夜阳光1390285921</cp:lastModifiedBy>
  <dcterms:modified xsi:type="dcterms:W3CDTF">2019-12-31T08:10:44Z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