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黑体"/>
          <w:sz w:val="32"/>
          <w:szCs w:val="32"/>
        </w:rPr>
      </w:pPr>
      <w:r>
        <w:rPr>
          <w:rFonts w:hint="eastAsia" w:ascii="Times New Roman" w:hAnsi="Times New Roman" w:eastAsia="黑体"/>
          <w:sz w:val="32"/>
          <w:szCs w:val="32"/>
        </w:rPr>
        <w:t>附件</w:t>
      </w:r>
      <w:r>
        <w:rPr>
          <w:rFonts w:ascii="Times New Roman" w:hAnsi="Times New Roman" w:eastAsia="黑体"/>
          <w:sz w:val="32"/>
          <w:szCs w:val="32"/>
        </w:rPr>
        <w:t>5</w:t>
      </w:r>
    </w:p>
    <w:p>
      <w:pPr>
        <w:spacing w:line="600" w:lineRule="exact"/>
        <w:jc w:val="center"/>
        <w:rPr>
          <w:rFonts w:ascii="方正小标宋简体" w:hAnsi="宋体" w:eastAsia="方正小标宋简体" w:cs="宋体"/>
          <w:color w:val="000000"/>
          <w:sz w:val="40"/>
          <w:szCs w:val="40"/>
        </w:rPr>
      </w:pPr>
      <w:r>
        <w:rPr>
          <w:rFonts w:hint="eastAsia" w:ascii="方正小标宋简体" w:hAnsi="宋体" w:eastAsia="方正小标宋简体" w:cs="宋体"/>
          <w:color w:val="000000"/>
          <w:sz w:val="40"/>
          <w:szCs w:val="40"/>
        </w:rPr>
        <w:t>渭南市人民政府宣布失效的民法典涉及行政规范性文件目录（8件）</w:t>
      </w:r>
    </w:p>
    <w:p>
      <w:pPr>
        <w:spacing w:line="400" w:lineRule="exact"/>
        <w:jc w:val="center"/>
        <w:rPr>
          <w:rFonts w:ascii="方正小标宋简体" w:hAnsi="宋体" w:eastAsia="方正小标宋简体" w:cs="宋体"/>
          <w:color w:val="000000"/>
          <w:sz w:val="40"/>
          <w:szCs w:val="40"/>
        </w:rPr>
      </w:pPr>
    </w:p>
    <w:tbl>
      <w:tblPr>
        <w:tblStyle w:val="4"/>
        <w:tblW w:w="13560" w:type="dxa"/>
        <w:tblInd w:w="534" w:type="dxa"/>
        <w:tblLayout w:type="autofit"/>
        <w:tblCellMar>
          <w:top w:w="0" w:type="dxa"/>
          <w:left w:w="108" w:type="dxa"/>
          <w:bottom w:w="0" w:type="dxa"/>
          <w:right w:w="108" w:type="dxa"/>
        </w:tblCellMar>
      </w:tblPr>
      <w:tblGrid>
        <w:gridCol w:w="850"/>
        <w:gridCol w:w="3260"/>
        <w:gridCol w:w="9072"/>
        <w:gridCol w:w="378"/>
      </w:tblGrid>
      <w:tr>
        <w:trPr>
          <w:gridAfter w:val="1"/>
          <w:wAfter w:w="378"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560" w:lineRule="exact"/>
              <w:jc w:val="center"/>
              <w:rPr>
                <w:rFonts w:ascii="黑体" w:hAnsi="黑体" w:eastAsia="黑体" w:cs="宋体"/>
                <w:bCs/>
                <w:color w:val="000000"/>
                <w:kern w:val="2"/>
                <w:sz w:val="28"/>
                <w:szCs w:val="28"/>
              </w:rPr>
            </w:pPr>
            <w:r>
              <w:rPr>
                <w:rFonts w:hint="eastAsia" w:ascii="黑体" w:hAnsi="黑体" w:eastAsia="黑体" w:cs="宋体"/>
                <w:bCs/>
                <w:color w:val="000000"/>
                <w:sz w:val="28"/>
                <w:szCs w:val="28"/>
              </w:rPr>
              <w:t>序号</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560" w:lineRule="exact"/>
              <w:jc w:val="center"/>
              <w:rPr>
                <w:rFonts w:ascii="黑体" w:hAnsi="黑体" w:eastAsia="黑体" w:cs="宋体"/>
                <w:bCs/>
                <w:color w:val="000000"/>
                <w:kern w:val="2"/>
                <w:sz w:val="28"/>
                <w:szCs w:val="28"/>
              </w:rPr>
            </w:pPr>
            <w:r>
              <w:rPr>
                <w:rFonts w:hint="eastAsia" w:ascii="黑体" w:hAnsi="黑体" w:eastAsia="黑体" w:cs="宋体"/>
                <w:bCs/>
                <w:color w:val="000000"/>
                <w:sz w:val="28"/>
                <w:szCs w:val="28"/>
              </w:rPr>
              <w:t>文 件 号</w:t>
            </w:r>
          </w:p>
        </w:tc>
        <w:tc>
          <w:tcPr>
            <w:tcW w:w="9072" w:type="dxa"/>
            <w:tcBorders>
              <w:top w:val="single" w:color="auto" w:sz="4" w:space="0"/>
              <w:left w:val="nil"/>
              <w:bottom w:val="single" w:color="auto" w:sz="4" w:space="0"/>
              <w:right w:val="single" w:color="auto" w:sz="4" w:space="0"/>
            </w:tcBorders>
            <w:vAlign w:val="center"/>
          </w:tcPr>
          <w:p>
            <w:pPr>
              <w:widowControl w:val="0"/>
              <w:spacing w:after="0" w:line="560" w:lineRule="exact"/>
              <w:jc w:val="center"/>
              <w:rPr>
                <w:rFonts w:ascii="黑体" w:hAnsi="黑体" w:eastAsia="黑体" w:cs="宋体"/>
                <w:bCs/>
                <w:color w:val="000000"/>
                <w:kern w:val="2"/>
                <w:sz w:val="28"/>
                <w:szCs w:val="28"/>
              </w:rPr>
            </w:pPr>
            <w:r>
              <w:rPr>
                <w:rFonts w:hint="eastAsia" w:ascii="黑体" w:hAnsi="黑体" w:eastAsia="黑体" w:cs="宋体"/>
                <w:bCs/>
                <w:color w:val="000000"/>
                <w:sz w:val="28"/>
                <w:szCs w:val="28"/>
              </w:rPr>
              <w:t>文 件 名 称</w:t>
            </w:r>
          </w:p>
        </w:tc>
      </w:tr>
      <w:tr>
        <w:tblPrEx>
          <w:tblCellMar>
            <w:top w:w="0" w:type="dxa"/>
            <w:left w:w="108" w:type="dxa"/>
            <w:bottom w:w="0" w:type="dxa"/>
            <w:right w:w="108" w:type="dxa"/>
          </w:tblCellMar>
        </w:tblPrEx>
        <w:trPr>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560" w:lineRule="exact"/>
              <w:jc w:val="center"/>
              <w:rPr>
                <w:rFonts w:ascii="仿宋_GB2312" w:hAnsi="宋体" w:eastAsia="仿宋_GB2312" w:cs="宋体"/>
                <w:b/>
                <w:bCs/>
                <w:color w:val="000000"/>
                <w:kern w:val="2"/>
                <w:sz w:val="24"/>
                <w:szCs w:val="24"/>
              </w:rPr>
            </w:pPr>
            <w:r>
              <w:rPr>
                <w:rFonts w:hint="eastAsia" w:ascii="仿宋_GB2312" w:hAnsi="宋体" w:eastAsia="仿宋_GB2312" w:cs="宋体"/>
                <w:b/>
                <w:bCs/>
                <w:color w:val="000000"/>
                <w:sz w:val="24"/>
                <w:szCs w:val="24"/>
              </w:rPr>
              <w:t>1</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560" w:lineRule="exact"/>
              <w:rPr>
                <w:rFonts w:ascii="仿宋_GB2312" w:hAnsi="宋体" w:eastAsia="仿宋_GB2312" w:cs="宋体"/>
                <w:kern w:val="2"/>
                <w:sz w:val="24"/>
                <w:szCs w:val="24"/>
              </w:rPr>
            </w:pPr>
            <w:r>
              <w:rPr>
                <w:rFonts w:hint="eastAsia" w:ascii="仿宋_GB2312" w:hAnsi="宋体" w:eastAsia="仿宋_GB2312" w:cs="宋体"/>
                <w:sz w:val="24"/>
                <w:szCs w:val="24"/>
              </w:rPr>
              <w:t>渭政办发〔2014〕135号</w:t>
            </w:r>
          </w:p>
        </w:tc>
        <w:tc>
          <w:tcPr>
            <w:tcW w:w="9072" w:type="dxa"/>
            <w:tcBorders>
              <w:top w:val="single" w:color="auto" w:sz="4" w:space="0"/>
              <w:left w:val="nil"/>
              <w:bottom w:val="single" w:color="auto" w:sz="4" w:space="0"/>
              <w:right w:val="single" w:color="auto" w:sz="4" w:space="0"/>
            </w:tcBorders>
            <w:vAlign w:val="center"/>
          </w:tcPr>
          <w:p>
            <w:pPr>
              <w:widowControl w:val="0"/>
              <w:spacing w:after="0" w:line="56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w:t>
            </w:r>
            <w:r>
              <w:rPr>
                <w:rFonts w:hint="eastAsia" w:ascii="仿宋_GB2312" w:hAnsi="宋体" w:eastAsia="仿宋_GB2312" w:cs="宋体"/>
                <w:sz w:val="24"/>
                <w:szCs w:val="24"/>
              </w:rPr>
              <w:t>关于印发渭南市政府购买服务岗位管理办法（试行）的通知</w:t>
            </w:r>
          </w:p>
        </w:tc>
        <w:tc>
          <w:tcPr>
            <w:tcW w:w="378" w:type="dxa"/>
          </w:tcPr>
          <w:p>
            <w:pPr>
              <w:widowControl w:val="0"/>
              <w:spacing w:line="560" w:lineRule="exact"/>
              <w:jc w:val="center"/>
              <w:rPr>
                <w:rFonts w:ascii="仿宋_GB2312" w:hAnsi="宋体" w:eastAsia="仿宋_GB2312" w:cs="宋体"/>
                <w:kern w:val="2"/>
                <w:sz w:val="24"/>
                <w:szCs w:val="24"/>
              </w:rPr>
            </w:pPr>
          </w:p>
        </w:tc>
      </w:tr>
      <w:tr>
        <w:tblPrEx>
          <w:tblCellMar>
            <w:top w:w="0" w:type="dxa"/>
            <w:left w:w="108" w:type="dxa"/>
            <w:bottom w:w="0" w:type="dxa"/>
            <w:right w:w="108" w:type="dxa"/>
          </w:tblCellMar>
        </w:tblPrEx>
        <w:trPr>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560" w:lineRule="exact"/>
              <w:jc w:val="center"/>
              <w:rPr>
                <w:rFonts w:ascii="仿宋_GB2312" w:hAnsi="宋体" w:eastAsia="仿宋_GB2312" w:cs="宋体"/>
                <w:b/>
                <w:bCs/>
                <w:color w:val="000000"/>
                <w:kern w:val="2"/>
                <w:sz w:val="24"/>
                <w:szCs w:val="24"/>
              </w:rPr>
            </w:pPr>
            <w:r>
              <w:rPr>
                <w:rFonts w:hint="eastAsia" w:ascii="仿宋_GB2312" w:hAnsi="宋体" w:eastAsia="仿宋_GB2312" w:cs="宋体"/>
                <w:b/>
                <w:bCs/>
                <w:color w:val="000000"/>
                <w:sz w:val="24"/>
                <w:szCs w:val="24"/>
              </w:rPr>
              <w:t>2</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560" w:lineRule="exact"/>
              <w:rPr>
                <w:rFonts w:ascii="仿宋_GB2312" w:hAnsi="宋体" w:eastAsia="仿宋_GB2312" w:cs="宋体"/>
                <w:kern w:val="2"/>
                <w:sz w:val="24"/>
                <w:szCs w:val="24"/>
              </w:rPr>
            </w:pPr>
            <w:r>
              <w:rPr>
                <w:rFonts w:hint="eastAsia" w:ascii="仿宋_GB2312" w:hAnsi="宋体" w:eastAsia="仿宋_GB2312" w:cs="宋体"/>
                <w:sz w:val="24"/>
                <w:szCs w:val="24"/>
              </w:rPr>
              <w:t>渭政办发〔2014〕138号</w:t>
            </w:r>
          </w:p>
        </w:tc>
        <w:tc>
          <w:tcPr>
            <w:tcW w:w="9072" w:type="dxa"/>
            <w:tcBorders>
              <w:top w:val="single" w:color="auto" w:sz="4" w:space="0"/>
              <w:left w:val="nil"/>
              <w:bottom w:val="single" w:color="auto" w:sz="4" w:space="0"/>
              <w:right w:val="single" w:color="auto" w:sz="4" w:space="0"/>
            </w:tcBorders>
            <w:vAlign w:val="center"/>
          </w:tcPr>
          <w:p>
            <w:pPr>
              <w:widowControl w:val="0"/>
              <w:spacing w:after="0" w:line="56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w:t>
            </w:r>
            <w:r>
              <w:rPr>
                <w:rFonts w:hint="eastAsia" w:ascii="仿宋_GB2312" w:hAnsi="宋体" w:eastAsia="仿宋_GB2312" w:cs="宋体"/>
                <w:sz w:val="24"/>
                <w:szCs w:val="24"/>
              </w:rPr>
              <w:t>关于进一步加强渭南中心城市建筑施工噪声和社会生活噪声污染防治工作实施意见</w:t>
            </w:r>
          </w:p>
        </w:tc>
        <w:tc>
          <w:tcPr>
            <w:tcW w:w="378" w:type="dxa"/>
          </w:tcPr>
          <w:p>
            <w:pPr>
              <w:widowControl w:val="0"/>
              <w:spacing w:line="560" w:lineRule="exact"/>
              <w:jc w:val="center"/>
              <w:rPr>
                <w:rFonts w:ascii="仿宋_GB2312" w:hAnsi="宋体" w:eastAsia="仿宋_GB2312" w:cs="宋体"/>
                <w:color w:val="00B050"/>
                <w:kern w:val="2"/>
                <w:sz w:val="24"/>
                <w:szCs w:val="24"/>
              </w:rPr>
            </w:pPr>
          </w:p>
        </w:tc>
      </w:tr>
      <w:tr>
        <w:tblPrEx>
          <w:tblCellMar>
            <w:top w:w="0" w:type="dxa"/>
            <w:left w:w="108" w:type="dxa"/>
            <w:bottom w:w="0" w:type="dxa"/>
            <w:right w:w="108" w:type="dxa"/>
          </w:tblCellMar>
        </w:tblPrEx>
        <w:trPr>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560" w:lineRule="exact"/>
              <w:jc w:val="center"/>
              <w:rPr>
                <w:rFonts w:ascii="仿宋_GB2312" w:hAnsi="宋体" w:eastAsia="仿宋_GB2312" w:cs="宋体"/>
                <w:b/>
                <w:bCs/>
                <w:color w:val="000000"/>
                <w:kern w:val="2"/>
                <w:sz w:val="24"/>
                <w:szCs w:val="24"/>
              </w:rPr>
            </w:pPr>
            <w:r>
              <w:rPr>
                <w:rFonts w:hint="eastAsia" w:ascii="仿宋_GB2312" w:hAnsi="宋体" w:eastAsia="仿宋_GB2312" w:cs="宋体"/>
                <w:b/>
                <w:bCs/>
                <w:color w:val="000000"/>
                <w:sz w:val="24"/>
                <w:szCs w:val="24"/>
              </w:rPr>
              <w:t>3</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560" w:lineRule="exact"/>
              <w:rPr>
                <w:rFonts w:ascii="仿宋_GB2312" w:hAnsi="宋体" w:eastAsia="仿宋_GB2312" w:cs="宋体"/>
                <w:kern w:val="2"/>
                <w:sz w:val="24"/>
                <w:szCs w:val="24"/>
              </w:rPr>
            </w:pPr>
            <w:r>
              <w:rPr>
                <w:rFonts w:hint="eastAsia" w:ascii="仿宋_GB2312" w:hAnsi="宋体" w:eastAsia="仿宋_GB2312" w:cs="宋体"/>
                <w:sz w:val="24"/>
                <w:szCs w:val="24"/>
              </w:rPr>
              <w:t>渭政发〔2015〕12号</w:t>
            </w:r>
          </w:p>
        </w:tc>
        <w:tc>
          <w:tcPr>
            <w:tcW w:w="9072" w:type="dxa"/>
            <w:tcBorders>
              <w:top w:val="single" w:color="auto" w:sz="4" w:space="0"/>
              <w:left w:val="nil"/>
              <w:bottom w:val="single" w:color="auto" w:sz="4" w:space="0"/>
              <w:right w:val="single" w:color="auto" w:sz="4" w:space="0"/>
            </w:tcBorders>
            <w:vAlign w:val="center"/>
          </w:tcPr>
          <w:p>
            <w:pPr>
              <w:widowControl w:val="0"/>
              <w:spacing w:after="0" w:line="56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w:t>
            </w:r>
            <w:r>
              <w:rPr>
                <w:rFonts w:hint="eastAsia" w:ascii="仿宋_GB2312" w:hAnsi="宋体" w:eastAsia="仿宋_GB2312" w:cs="宋体"/>
                <w:sz w:val="24"/>
                <w:szCs w:val="24"/>
              </w:rPr>
              <w:t>关于进一步加强和改进最低生活保障工作的实施意见</w:t>
            </w:r>
          </w:p>
        </w:tc>
        <w:tc>
          <w:tcPr>
            <w:tcW w:w="378" w:type="dxa"/>
          </w:tcPr>
          <w:p>
            <w:pPr>
              <w:spacing w:line="560" w:lineRule="exact"/>
              <w:rPr>
                <w:rFonts w:asciiTheme="minorHAnsi" w:hAnsiTheme="minorHAnsi" w:eastAsiaTheme="minorEastAsia"/>
                <w:kern w:val="2"/>
                <w:sz w:val="24"/>
                <w:szCs w:val="24"/>
              </w:rPr>
            </w:pPr>
          </w:p>
        </w:tc>
      </w:tr>
      <w:tr>
        <w:tblPrEx>
          <w:tblCellMar>
            <w:top w:w="0" w:type="dxa"/>
            <w:left w:w="108" w:type="dxa"/>
            <w:bottom w:w="0" w:type="dxa"/>
            <w:right w:w="108" w:type="dxa"/>
          </w:tblCellMar>
        </w:tblPrEx>
        <w:trPr>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560" w:lineRule="exact"/>
              <w:jc w:val="center"/>
              <w:rPr>
                <w:rFonts w:ascii="仿宋_GB2312" w:hAnsi="宋体" w:eastAsia="仿宋_GB2312" w:cs="宋体"/>
                <w:b/>
                <w:bCs/>
                <w:color w:val="000000"/>
                <w:kern w:val="2"/>
                <w:sz w:val="24"/>
                <w:szCs w:val="24"/>
              </w:rPr>
            </w:pPr>
            <w:r>
              <w:rPr>
                <w:rFonts w:hint="eastAsia" w:ascii="仿宋_GB2312" w:hAnsi="宋体" w:eastAsia="仿宋_GB2312" w:cs="宋体"/>
                <w:b/>
                <w:bCs/>
                <w:color w:val="000000"/>
                <w:sz w:val="24"/>
                <w:szCs w:val="24"/>
              </w:rPr>
              <w:t>4</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560" w:lineRule="exact"/>
              <w:rPr>
                <w:rFonts w:ascii="仿宋_GB2312" w:hAnsi="宋体" w:eastAsia="仿宋_GB2312" w:cs="宋体"/>
                <w:kern w:val="2"/>
                <w:sz w:val="24"/>
                <w:szCs w:val="24"/>
              </w:rPr>
            </w:pPr>
            <w:r>
              <w:rPr>
                <w:rFonts w:hint="eastAsia" w:ascii="仿宋_GB2312" w:hAnsi="宋体" w:eastAsia="仿宋_GB2312" w:cs="宋体"/>
                <w:sz w:val="24"/>
                <w:szCs w:val="24"/>
              </w:rPr>
              <w:t>渭政办发〔2015〕40号</w:t>
            </w:r>
          </w:p>
        </w:tc>
        <w:tc>
          <w:tcPr>
            <w:tcW w:w="9072" w:type="dxa"/>
            <w:tcBorders>
              <w:top w:val="single" w:color="auto" w:sz="4" w:space="0"/>
              <w:left w:val="nil"/>
              <w:bottom w:val="single" w:color="auto" w:sz="4" w:space="0"/>
              <w:right w:val="single" w:color="auto" w:sz="4" w:space="0"/>
            </w:tcBorders>
            <w:vAlign w:val="center"/>
          </w:tcPr>
          <w:p>
            <w:pPr>
              <w:widowControl w:val="0"/>
              <w:spacing w:after="0" w:line="56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w:t>
            </w:r>
            <w:r>
              <w:rPr>
                <w:rFonts w:hint="eastAsia" w:ascii="仿宋_GB2312" w:hAnsi="宋体" w:eastAsia="仿宋_GB2312" w:cs="宋体"/>
                <w:sz w:val="24"/>
                <w:szCs w:val="24"/>
              </w:rPr>
              <w:t>关于加强涉企收费管理减轻企业负担的实施意见</w:t>
            </w:r>
          </w:p>
        </w:tc>
        <w:tc>
          <w:tcPr>
            <w:tcW w:w="378" w:type="dxa"/>
          </w:tcPr>
          <w:p>
            <w:pPr>
              <w:widowControl w:val="0"/>
              <w:spacing w:line="560" w:lineRule="exact"/>
              <w:jc w:val="center"/>
              <w:rPr>
                <w:rFonts w:ascii="仿宋_GB2312" w:hAnsi="宋体" w:eastAsia="仿宋_GB2312" w:cs="宋体"/>
                <w:color w:val="92D050"/>
                <w:kern w:val="2"/>
                <w:sz w:val="24"/>
                <w:szCs w:val="24"/>
              </w:rPr>
            </w:pPr>
          </w:p>
        </w:tc>
      </w:tr>
      <w:tr>
        <w:tblPrEx>
          <w:tblCellMar>
            <w:top w:w="0" w:type="dxa"/>
            <w:left w:w="108" w:type="dxa"/>
            <w:bottom w:w="0" w:type="dxa"/>
            <w:right w:w="108" w:type="dxa"/>
          </w:tblCellMar>
        </w:tblPrEx>
        <w:trPr>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560" w:lineRule="exact"/>
              <w:jc w:val="center"/>
              <w:rPr>
                <w:rFonts w:ascii="仿宋_GB2312" w:hAnsi="宋体" w:eastAsia="仿宋_GB2312" w:cs="宋体"/>
                <w:b/>
                <w:bCs/>
                <w:color w:val="000000"/>
                <w:kern w:val="2"/>
                <w:sz w:val="24"/>
                <w:szCs w:val="24"/>
              </w:rPr>
            </w:pPr>
            <w:r>
              <w:rPr>
                <w:rFonts w:hint="eastAsia" w:ascii="仿宋_GB2312" w:hAnsi="宋体" w:eastAsia="仿宋_GB2312" w:cs="宋体"/>
                <w:b/>
                <w:bCs/>
                <w:color w:val="000000"/>
                <w:sz w:val="24"/>
                <w:szCs w:val="24"/>
              </w:rPr>
              <w:t>5</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560" w:lineRule="exact"/>
              <w:rPr>
                <w:rFonts w:ascii="仿宋_GB2312" w:hAnsi="宋体" w:eastAsia="仿宋_GB2312" w:cs="宋体"/>
                <w:kern w:val="2"/>
                <w:sz w:val="24"/>
                <w:szCs w:val="24"/>
              </w:rPr>
            </w:pPr>
            <w:r>
              <w:rPr>
                <w:rFonts w:hint="eastAsia" w:ascii="仿宋_GB2312" w:hAnsi="宋体" w:eastAsia="仿宋_GB2312" w:cs="宋体"/>
                <w:sz w:val="24"/>
                <w:szCs w:val="24"/>
              </w:rPr>
              <w:t>渭政办发〔2015〕97号</w:t>
            </w:r>
          </w:p>
        </w:tc>
        <w:tc>
          <w:tcPr>
            <w:tcW w:w="9072" w:type="dxa"/>
            <w:tcBorders>
              <w:top w:val="single" w:color="auto" w:sz="4" w:space="0"/>
              <w:left w:val="nil"/>
              <w:bottom w:val="single" w:color="auto" w:sz="4" w:space="0"/>
              <w:right w:val="single" w:color="auto" w:sz="4" w:space="0"/>
            </w:tcBorders>
            <w:vAlign w:val="center"/>
          </w:tcPr>
          <w:p>
            <w:pPr>
              <w:widowControl w:val="0"/>
              <w:spacing w:after="0" w:line="56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w:t>
            </w:r>
            <w:r>
              <w:rPr>
                <w:rFonts w:hint="eastAsia" w:ascii="仿宋_GB2312" w:hAnsi="宋体" w:eastAsia="仿宋_GB2312" w:cs="宋体"/>
                <w:sz w:val="24"/>
                <w:szCs w:val="24"/>
              </w:rPr>
              <w:t>关于印发加快现代保险服务业实施方案的通知</w:t>
            </w:r>
          </w:p>
        </w:tc>
        <w:tc>
          <w:tcPr>
            <w:tcW w:w="378" w:type="dxa"/>
          </w:tcPr>
          <w:p>
            <w:pPr>
              <w:spacing w:line="560" w:lineRule="exact"/>
              <w:rPr>
                <w:rFonts w:asciiTheme="minorHAnsi" w:hAnsiTheme="minorHAnsi" w:eastAsiaTheme="minorEastAsia"/>
                <w:kern w:val="2"/>
                <w:sz w:val="24"/>
                <w:szCs w:val="24"/>
              </w:rPr>
            </w:pPr>
          </w:p>
        </w:tc>
      </w:tr>
      <w:tr>
        <w:tblPrEx>
          <w:tblCellMar>
            <w:top w:w="0" w:type="dxa"/>
            <w:left w:w="108" w:type="dxa"/>
            <w:bottom w:w="0" w:type="dxa"/>
            <w:right w:w="108" w:type="dxa"/>
          </w:tblCellMar>
        </w:tblPrEx>
        <w:trPr>
          <w:gridAfter w:val="1"/>
          <w:wAfter w:w="378"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560" w:lineRule="exact"/>
              <w:jc w:val="center"/>
              <w:rPr>
                <w:rFonts w:ascii="仿宋_GB2312" w:hAnsi="宋体" w:eastAsia="仿宋_GB2312" w:cs="宋体"/>
                <w:b/>
                <w:bCs/>
                <w:color w:val="000000"/>
                <w:kern w:val="2"/>
                <w:sz w:val="24"/>
                <w:szCs w:val="24"/>
              </w:rPr>
            </w:pPr>
            <w:r>
              <w:rPr>
                <w:rFonts w:hint="eastAsia" w:ascii="仿宋_GB2312" w:hAnsi="宋体" w:eastAsia="仿宋_GB2312" w:cs="宋体"/>
                <w:b/>
                <w:bCs/>
                <w:color w:val="000000"/>
                <w:sz w:val="24"/>
                <w:szCs w:val="24"/>
              </w:rPr>
              <w:t>6</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560" w:lineRule="exact"/>
              <w:rPr>
                <w:rFonts w:ascii="仿宋_GB2312" w:hAnsi="宋体" w:eastAsia="仿宋_GB2312" w:cs="宋体"/>
                <w:kern w:val="2"/>
                <w:sz w:val="24"/>
                <w:szCs w:val="24"/>
              </w:rPr>
            </w:pPr>
            <w:r>
              <w:rPr>
                <w:rFonts w:hint="eastAsia" w:ascii="仿宋_GB2312" w:hAnsi="宋体" w:eastAsia="仿宋_GB2312" w:cs="宋体"/>
                <w:sz w:val="24"/>
                <w:szCs w:val="24"/>
              </w:rPr>
              <w:t>渭政办发〔2015〕100号</w:t>
            </w:r>
          </w:p>
        </w:tc>
        <w:tc>
          <w:tcPr>
            <w:tcW w:w="9072" w:type="dxa"/>
            <w:tcBorders>
              <w:top w:val="single" w:color="auto" w:sz="4" w:space="0"/>
              <w:left w:val="nil"/>
              <w:bottom w:val="single" w:color="auto" w:sz="4" w:space="0"/>
              <w:right w:val="single" w:color="auto" w:sz="4" w:space="0"/>
            </w:tcBorders>
            <w:vAlign w:val="center"/>
          </w:tcPr>
          <w:p>
            <w:pPr>
              <w:widowControl w:val="0"/>
              <w:spacing w:after="0" w:line="56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渭南市人民政府办公室关于印发</w:t>
            </w:r>
            <w:r>
              <w:rPr>
                <w:rFonts w:hint="eastAsia" w:ascii="仿宋_GB2312" w:hAnsi="宋体" w:eastAsia="仿宋_GB2312" w:cs="宋体"/>
                <w:sz w:val="24"/>
                <w:szCs w:val="24"/>
              </w:rPr>
              <w:t>关于进一步做好金融支持三农发展工作的通知</w:t>
            </w:r>
          </w:p>
        </w:tc>
      </w:tr>
      <w:tr>
        <w:tblPrEx>
          <w:tblCellMar>
            <w:top w:w="0" w:type="dxa"/>
            <w:left w:w="108" w:type="dxa"/>
            <w:bottom w:w="0" w:type="dxa"/>
            <w:right w:w="108" w:type="dxa"/>
          </w:tblCellMar>
        </w:tblPrEx>
        <w:trPr>
          <w:gridAfter w:val="1"/>
          <w:wAfter w:w="378"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after="0" w:line="560" w:lineRule="exact"/>
              <w:jc w:val="center"/>
              <w:rPr>
                <w:rFonts w:ascii="仿宋_GB2312" w:hAnsi="宋体" w:eastAsia="仿宋_GB2312" w:cs="宋体"/>
                <w:b/>
                <w:bCs/>
                <w:color w:val="000000"/>
                <w:kern w:val="2"/>
                <w:sz w:val="24"/>
                <w:szCs w:val="24"/>
              </w:rPr>
            </w:pPr>
            <w:r>
              <w:rPr>
                <w:rFonts w:hint="eastAsia" w:ascii="仿宋_GB2312" w:hAnsi="宋体" w:eastAsia="仿宋_GB2312" w:cs="宋体"/>
                <w:b/>
                <w:bCs/>
                <w:color w:val="000000"/>
                <w:sz w:val="24"/>
                <w:szCs w:val="24"/>
              </w:rPr>
              <w:t>7</w:t>
            </w:r>
          </w:p>
        </w:tc>
        <w:tc>
          <w:tcPr>
            <w:tcW w:w="3260" w:type="dxa"/>
            <w:tcBorders>
              <w:top w:val="single" w:color="auto" w:sz="4" w:space="0"/>
              <w:left w:val="nil"/>
              <w:bottom w:val="single" w:color="auto" w:sz="4" w:space="0"/>
              <w:right w:val="single" w:color="auto" w:sz="4" w:space="0"/>
            </w:tcBorders>
            <w:vAlign w:val="center"/>
          </w:tcPr>
          <w:p>
            <w:pPr>
              <w:widowControl w:val="0"/>
              <w:spacing w:after="0" w:line="560" w:lineRule="exact"/>
              <w:rPr>
                <w:rFonts w:ascii="仿宋_GB2312" w:hAnsi="宋体" w:eastAsia="仿宋_GB2312" w:cs="宋体"/>
                <w:kern w:val="2"/>
                <w:sz w:val="24"/>
                <w:szCs w:val="24"/>
              </w:rPr>
            </w:pPr>
            <w:r>
              <w:rPr>
                <w:rFonts w:hint="eastAsia" w:ascii="仿宋_GB2312" w:hAnsi="宋体" w:eastAsia="仿宋_GB2312" w:cs="宋体"/>
                <w:sz w:val="24"/>
                <w:szCs w:val="24"/>
              </w:rPr>
              <w:t>渭政发〔2016〕47号</w:t>
            </w:r>
          </w:p>
        </w:tc>
        <w:tc>
          <w:tcPr>
            <w:tcW w:w="9072" w:type="dxa"/>
            <w:tcBorders>
              <w:top w:val="single" w:color="auto" w:sz="4" w:space="0"/>
              <w:left w:val="nil"/>
              <w:bottom w:val="single" w:color="auto" w:sz="4" w:space="0"/>
              <w:right w:val="single" w:color="auto" w:sz="4" w:space="0"/>
            </w:tcBorders>
            <w:vAlign w:val="center"/>
          </w:tcPr>
          <w:p>
            <w:pPr>
              <w:widowControl w:val="0"/>
              <w:spacing w:after="0" w:line="56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w:t>
            </w:r>
            <w:r>
              <w:rPr>
                <w:rFonts w:hint="eastAsia" w:ascii="仿宋_GB2312" w:hAnsi="宋体" w:eastAsia="仿宋_GB2312" w:cs="宋体"/>
                <w:sz w:val="24"/>
                <w:szCs w:val="24"/>
              </w:rPr>
              <w:t>关于加强全市居民小区消防安全管理工作的通告</w:t>
            </w:r>
          </w:p>
        </w:tc>
      </w:tr>
      <w:tr>
        <w:tblPrEx>
          <w:tblCellMar>
            <w:top w:w="0" w:type="dxa"/>
            <w:left w:w="108" w:type="dxa"/>
            <w:bottom w:w="0" w:type="dxa"/>
            <w:right w:w="108" w:type="dxa"/>
          </w:tblCellMar>
        </w:tblPrEx>
        <w:trPr>
          <w:gridAfter w:val="1"/>
          <w:wAfter w:w="378" w:type="dxa"/>
          <w:trHeight w:val="627" w:hRule="atLeast"/>
        </w:trPr>
        <w:tc>
          <w:tcPr>
            <w:tcW w:w="850" w:type="dxa"/>
            <w:tcBorders>
              <w:top w:val="single" w:color="auto" w:sz="4" w:space="0"/>
              <w:left w:val="single" w:color="auto" w:sz="4" w:space="0"/>
              <w:bottom w:val="single" w:color="auto" w:sz="4" w:space="0"/>
              <w:right w:val="single" w:color="auto" w:sz="4" w:space="0"/>
            </w:tcBorders>
            <w:vAlign w:val="center"/>
          </w:tcPr>
          <w:p>
            <w:pPr>
              <w:widowControl w:val="0"/>
              <w:spacing w:line="560" w:lineRule="exact"/>
              <w:jc w:val="center"/>
              <w:rPr>
                <w:rFonts w:ascii="仿宋_GB2312" w:hAnsi="宋体" w:eastAsia="仿宋_GB2312" w:cs="宋体"/>
                <w:b/>
                <w:bCs/>
                <w:color w:val="000000"/>
                <w:kern w:val="2"/>
                <w:sz w:val="24"/>
                <w:szCs w:val="24"/>
              </w:rPr>
            </w:pPr>
            <w:r>
              <w:rPr>
                <w:rFonts w:hint="eastAsia" w:ascii="仿宋_GB2312" w:hAnsi="宋体" w:eastAsia="仿宋_GB2312" w:cs="宋体"/>
                <w:b/>
                <w:bCs/>
                <w:color w:val="000000"/>
                <w:sz w:val="24"/>
                <w:szCs w:val="24"/>
              </w:rPr>
              <w:t>8</w:t>
            </w:r>
          </w:p>
        </w:tc>
        <w:tc>
          <w:tcPr>
            <w:tcW w:w="3260" w:type="dxa"/>
            <w:tcBorders>
              <w:top w:val="single" w:color="auto" w:sz="4" w:space="0"/>
              <w:left w:val="nil"/>
              <w:bottom w:val="single" w:color="auto" w:sz="4" w:space="0"/>
              <w:right w:val="single" w:color="auto" w:sz="4" w:space="0"/>
            </w:tcBorders>
            <w:vAlign w:val="center"/>
          </w:tcPr>
          <w:p>
            <w:pPr>
              <w:widowControl w:val="0"/>
              <w:spacing w:line="560" w:lineRule="exact"/>
              <w:rPr>
                <w:rFonts w:ascii="仿宋_GB2312" w:hAnsi="宋体" w:eastAsia="仿宋_GB2312" w:cs="宋体"/>
                <w:kern w:val="2"/>
                <w:sz w:val="24"/>
                <w:szCs w:val="24"/>
              </w:rPr>
            </w:pPr>
            <w:r>
              <w:rPr>
                <w:rFonts w:hint="eastAsia" w:ascii="仿宋_GB2312" w:hAnsi="宋体" w:eastAsia="仿宋_GB2312" w:cs="宋体"/>
                <w:sz w:val="24"/>
                <w:szCs w:val="24"/>
              </w:rPr>
              <w:t>渭政办发〔2017〕76号</w:t>
            </w:r>
          </w:p>
        </w:tc>
        <w:tc>
          <w:tcPr>
            <w:tcW w:w="9072" w:type="dxa"/>
            <w:tcBorders>
              <w:top w:val="single" w:color="auto" w:sz="4" w:space="0"/>
              <w:left w:val="nil"/>
              <w:bottom w:val="single" w:color="auto" w:sz="4" w:space="0"/>
              <w:right w:val="single" w:color="auto" w:sz="4" w:space="0"/>
            </w:tcBorders>
            <w:vAlign w:val="center"/>
          </w:tcPr>
          <w:p>
            <w:pPr>
              <w:widowControl w:val="0"/>
              <w:spacing w:line="560" w:lineRule="exact"/>
              <w:jc w:val="both"/>
              <w:rPr>
                <w:rFonts w:ascii="仿宋_GB2312" w:hAnsi="宋体" w:eastAsia="仿宋_GB2312" w:cs="宋体"/>
                <w:kern w:val="2"/>
                <w:sz w:val="24"/>
                <w:szCs w:val="24"/>
              </w:rPr>
            </w:pPr>
            <w:r>
              <w:rPr>
                <w:rFonts w:hint="eastAsia" w:ascii="仿宋_GB2312" w:eastAsia="仿宋_GB2312"/>
                <w:sz w:val="24"/>
                <w:szCs w:val="24"/>
              </w:rPr>
              <w:t>渭南市人民政府办公室</w:t>
            </w:r>
            <w:r>
              <w:rPr>
                <w:rFonts w:hint="eastAsia" w:ascii="仿宋_GB2312" w:hAnsi="宋体" w:eastAsia="仿宋_GB2312" w:cs="宋体"/>
                <w:sz w:val="24"/>
                <w:szCs w:val="24"/>
              </w:rPr>
              <w:t>关于印发渭南市普惠金融发展实施方案的通知</w:t>
            </w:r>
          </w:p>
        </w:tc>
      </w:tr>
    </w:tbl>
    <w:p>
      <w:pPr>
        <w:spacing w:line="600" w:lineRule="exact"/>
        <w:rPr>
          <w:sz w:val="24"/>
          <w:szCs w:val="24"/>
        </w:rPr>
      </w:pPr>
    </w:p>
    <w:sectPr>
      <w:footerReference r:id="rId3" w:type="default"/>
      <w:footerReference r:id="rId4" w:type="even"/>
      <w:pgSz w:w="16838" w:h="11906" w:orient="landscape"/>
      <w:pgMar w:top="1797" w:right="1440" w:bottom="1797" w:left="1440" w:header="709" w:footer="709" w:gutter="0"/>
      <w:pgNumType w:fmt="numberInDash"/>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005425"/>
      <w:docPartObj>
        <w:docPartGallery w:val="AutoText"/>
      </w:docPartObj>
    </w:sdtPr>
    <w:sdtEndPr>
      <w:rPr>
        <w:rFonts w:hint="eastAsia" w:ascii="仿宋_GB2312" w:eastAsia="仿宋_GB2312"/>
        <w:sz w:val="28"/>
        <w:szCs w:val="28"/>
      </w:rPr>
    </w:sdtEndPr>
    <w:sdtContent>
      <w:p>
        <w:pPr>
          <w:pStyle w:val="2"/>
          <w:jc w:val="right"/>
        </w:pP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17 -</w:t>
        </w:r>
        <w:r>
          <w:rPr>
            <w:rFonts w:hint="eastAsia" w:ascii="仿宋_GB2312" w:eastAsia="仿宋_GB2312"/>
            <w:sz w:val="28"/>
            <w:szCs w:val="28"/>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005428"/>
      <w:docPartObj>
        <w:docPartGallery w:val="AutoText"/>
      </w:docPartObj>
    </w:sdtPr>
    <w:sdtContent>
      <w:p>
        <w:pPr>
          <w:pStyle w:val="2"/>
        </w:pP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16 -</w:t>
        </w:r>
        <w:r>
          <w:rPr>
            <w:rFonts w:hint="eastAsia" w:ascii="仿宋_GB2312" w:eastAsia="仿宋_GB2312"/>
            <w:sz w:val="28"/>
            <w:szCs w:val="28"/>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evenAndOddHeaders w:val="1"/>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05F61"/>
    <w:rsid w:val="00034EDC"/>
    <w:rsid w:val="00034F7C"/>
    <w:rsid w:val="000906B2"/>
    <w:rsid w:val="000922FC"/>
    <w:rsid w:val="000C5464"/>
    <w:rsid w:val="000D1289"/>
    <w:rsid w:val="000F24E9"/>
    <w:rsid w:val="000F5F30"/>
    <w:rsid w:val="00103C74"/>
    <w:rsid w:val="0011379F"/>
    <w:rsid w:val="00122B17"/>
    <w:rsid w:val="00143917"/>
    <w:rsid w:val="001771C5"/>
    <w:rsid w:val="00186CD9"/>
    <w:rsid w:val="001C631C"/>
    <w:rsid w:val="001D392E"/>
    <w:rsid w:val="001E4B5B"/>
    <w:rsid w:val="00247E92"/>
    <w:rsid w:val="0028278B"/>
    <w:rsid w:val="002854F3"/>
    <w:rsid w:val="002B6011"/>
    <w:rsid w:val="002B656F"/>
    <w:rsid w:val="002C29DC"/>
    <w:rsid w:val="002C5398"/>
    <w:rsid w:val="002F4E7F"/>
    <w:rsid w:val="002F6B8F"/>
    <w:rsid w:val="00323B43"/>
    <w:rsid w:val="003376EA"/>
    <w:rsid w:val="00355ED1"/>
    <w:rsid w:val="00370026"/>
    <w:rsid w:val="0037714C"/>
    <w:rsid w:val="00390647"/>
    <w:rsid w:val="003A211E"/>
    <w:rsid w:val="003C7BFF"/>
    <w:rsid w:val="003D23CC"/>
    <w:rsid w:val="003D37D8"/>
    <w:rsid w:val="003E02C2"/>
    <w:rsid w:val="003E7B56"/>
    <w:rsid w:val="003F1056"/>
    <w:rsid w:val="0040284C"/>
    <w:rsid w:val="00405FC2"/>
    <w:rsid w:val="00406B4C"/>
    <w:rsid w:val="004077A8"/>
    <w:rsid w:val="00410072"/>
    <w:rsid w:val="00426133"/>
    <w:rsid w:val="004350E0"/>
    <w:rsid w:val="004358AB"/>
    <w:rsid w:val="00436CD5"/>
    <w:rsid w:val="004776E0"/>
    <w:rsid w:val="004A4A35"/>
    <w:rsid w:val="004B6C4A"/>
    <w:rsid w:val="004C1736"/>
    <w:rsid w:val="004D79DD"/>
    <w:rsid w:val="00517AEE"/>
    <w:rsid w:val="00531971"/>
    <w:rsid w:val="00532C16"/>
    <w:rsid w:val="00546684"/>
    <w:rsid w:val="00563B19"/>
    <w:rsid w:val="00567548"/>
    <w:rsid w:val="00572D02"/>
    <w:rsid w:val="005963D9"/>
    <w:rsid w:val="005B0504"/>
    <w:rsid w:val="005B5A73"/>
    <w:rsid w:val="005C54FE"/>
    <w:rsid w:val="005E7263"/>
    <w:rsid w:val="005F30F4"/>
    <w:rsid w:val="005F3343"/>
    <w:rsid w:val="006249F6"/>
    <w:rsid w:val="00626AC1"/>
    <w:rsid w:val="00636EA3"/>
    <w:rsid w:val="00642BF8"/>
    <w:rsid w:val="00645B22"/>
    <w:rsid w:val="0066296D"/>
    <w:rsid w:val="006638A8"/>
    <w:rsid w:val="0067151B"/>
    <w:rsid w:val="006842B4"/>
    <w:rsid w:val="00685BB3"/>
    <w:rsid w:val="006B6667"/>
    <w:rsid w:val="006D4299"/>
    <w:rsid w:val="006E75EC"/>
    <w:rsid w:val="00716F4A"/>
    <w:rsid w:val="0073560E"/>
    <w:rsid w:val="00735BE9"/>
    <w:rsid w:val="00756C51"/>
    <w:rsid w:val="007D7BFB"/>
    <w:rsid w:val="007E45AF"/>
    <w:rsid w:val="007F48CA"/>
    <w:rsid w:val="00827FC9"/>
    <w:rsid w:val="008310D5"/>
    <w:rsid w:val="008326F4"/>
    <w:rsid w:val="008524BB"/>
    <w:rsid w:val="00873FB7"/>
    <w:rsid w:val="00883CDE"/>
    <w:rsid w:val="008849A6"/>
    <w:rsid w:val="008851DF"/>
    <w:rsid w:val="00896465"/>
    <w:rsid w:val="008A23BE"/>
    <w:rsid w:val="008B7726"/>
    <w:rsid w:val="008C1F9E"/>
    <w:rsid w:val="008C763F"/>
    <w:rsid w:val="008E1DC9"/>
    <w:rsid w:val="008E4CE9"/>
    <w:rsid w:val="008E55BB"/>
    <w:rsid w:val="008F1D94"/>
    <w:rsid w:val="008F417D"/>
    <w:rsid w:val="008F5FBC"/>
    <w:rsid w:val="00926334"/>
    <w:rsid w:val="009340D8"/>
    <w:rsid w:val="0093748E"/>
    <w:rsid w:val="009442F8"/>
    <w:rsid w:val="0094702E"/>
    <w:rsid w:val="0095381E"/>
    <w:rsid w:val="00964A3E"/>
    <w:rsid w:val="00967DA1"/>
    <w:rsid w:val="009727E5"/>
    <w:rsid w:val="009745AB"/>
    <w:rsid w:val="0098389A"/>
    <w:rsid w:val="009843C5"/>
    <w:rsid w:val="0099573D"/>
    <w:rsid w:val="009D156D"/>
    <w:rsid w:val="009E49E1"/>
    <w:rsid w:val="009E5ED4"/>
    <w:rsid w:val="00A111AB"/>
    <w:rsid w:val="00A22AB3"/>
    <w:rsid w:val="00A25BD7"/>
    <w:rsid w:val="00A60292"/>
    <w:rsid w:val="00A81C33"/>
    <w:rsid w:val="00A95D39"/>
    <w:rsid w:val="00AA16E2"/>
    <w:rsid w:val="00AA6AC6"/>
    <w:rsid w:val="00AC6350"/>
    <w:rsid w:val="00AC6C4B"/>
    <w:rsid w:val="00B008B4"/>
    <w:rsid w:val="00B10D69"/>
    <w:rsid w:val="00B135DE"/>
    <w:rsid w:val="00B43619"/>
    <w:rsid w:val="00B50150"/>
    <w:rsid w:val="00B72186"/>
    <w:rsid w:val="00B743FC"/>
    <w:rsid w:val="00BE5933"/>
    <w:rsid w:val="00BE72E9"/>
    <w:rsid w:val="00C210D9"/>
    <w:rsid w:val="00C36F73"/>
    <w:rsid w:val="00C448A2"/>
    <w:rsid w:val="00C5369F"/>
    <w:rsid w:val="00C53DCC"/>
    <w:rsid w:val="00C67945"/>
    <w:rsid w:val="00C77FF9"/>
    <w:rsid w:val="00C81ECB"/>
    <w:rsid w:val="00C97676"/>
    <w:rsid w:val="00CD2C38"/>
    <w:rsid w:val="00CF6FC9"/>
    <w:rsid w:val="00D1652E"/>
    <w:rsid w:val="00D31D50"/>
    <w:rsid w:val="00D472BD"/>
    <w:rsid w:val="00D94704"/>
    <w:rsid w:val="00DA2CF7"/>
    <w:rsid w:val="00DA307E"/>
    <w:rsid w:val="00E047B0"/>
    <w:rsid w:val="00E412F4"/>
    <w:rsid w:val="00E41A1E"/>
    <w:rsid w:val="00E55C25"/>
    <w:rsid w:val="00E6374C"/>
    <w:rsid w:val="00E670E0"/>
    <w:rsid w:val="00E75E52"/>
    <w:rsid w:val="00E93041"/>
    <w:rsid w:val="00EA2F03"/>
    <w:rsid w:val="00EA3A8E"/>
    <w:rsid w:val="00EC68D5"/>
    <w:rsid w:val="00F25EEF"/>
    <w:rsid w:val="00F33AFB"/>
    <w:rsid w:val="00F34F81"/>
    <w:rsid w:val="00F53FEC"/>
    <w:rsid w:val="00F827D7"/>
    <w:rsid w:val="00F92918"/>
    <w:rsid w:val="00F951FE"/>
    <w:rsid w:val="00F97629"/>
    <w:rsid w:val="00FA107D"/>
    <w:rsid w:val="00FA7698"/>
    <w:rsid w:val="00FB42D0"/>
    <w:rsid w:val="00FE7E1F"/>
    <w:rsid w:val="3CB111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jc w:val="center"/>
    </w:pPr>
    <w:rPr>
      <w:sz w:val="18"/>
      <w:szCs w:val="18"/>
    </w:rPr>
  </w:style>
  <w:style w:type="character" w:customStyle="1" w:styleId="6">
    <w:name w:val="页眉 Char"/>
    <w:basedOn w:val="5"/>
    <w:link w:val="3"/>
    <w:semiHidden/>
    <w:uiPriority w:val="99"/>
    <w:rPr>
      <w:rFonts w:ascii="Tahoma" w:hAnsi="Tahoma"/>
      <w:sz w:val="18"/>
      <w:szCs w:val="18"/>
    </w:rPr>
  </w:style>
  <w:style w:type="character" w:customStyle="1" w:styleId="7">
    <w:name w:val="页脚 Char"/>
    <w:basedOn w:val="5"/>
    <w:link w:val="2"/>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564037-8D82-4A1E-BFA4-93CFBEFDCB38}">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17</Pages>
  <Words>967</Words>
  <Characters>5516</Characters>
  <Lines>45</Lines>
  <Paragraphs>12</Paragraphs>
  <TotalTime>327</TotalTime>
  <ScaleCrop>false</ScaleCrop>
  <LinksUpToDate>false</LinksUpToDate>
  <CharactersWithSpaces>6471</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2020-10-09T03:53:00Z</dcterms:created>
  <dc:creator>Administrator</dc:creator>
  <cp:lastModifiedBy>lenovo</cp:lastModifiedBy>
  <cp:lastPrinted>2020-11-02T02:05:00Z</cp:lastPrinted>
  <dcterms:modified xsi:type="dcterms:W3CDTF">2020-11-04T03:05:51Z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