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9" w:leftChars="-67" w:hanging="160" w:hangingChars="50"/>
        <w:outlineLvl w:val="0"/>
        <w:rPr>
          <w:rFonts w:ascii="黑体" w:hAnsi="黑体" w:eastAsia="黑体" w:cs="黑体"/>
          <w:sz w:val="32"/>
          <w:szCs w:val="28"/>
        </w:rPr>
      </w:pPr>
      <w:r>
        <w:rPr>
          <w:rFonts w:hint="eastAsia" w:ascii="黑体" w:hAnsi="黑体" w:eastAsia="黑体" w:cs="黑体"/>
          <w:sz w:val="32"/>
          <w:szCs w:val="28"/>
        </w:rPr>
        <w:t>附件1</w:t>
      </w:r>
    </w:p>
    <w:p>
      <w:r>
        <w:rPr>
          <w:rFonts w:hint="eastAsia" w:ascii="方正小标宋简体" w:hAnsi="华文中宋" w:eastAsia="方正小标宋简体"/>
          <w:sz w:val="40"/>
          <w:szCs w:val="32"/>
        </w:rPr>
        <w:t>渭南市生态环境管控单元分布示意图</w:t>
      </w:r>
      <w:r>
        <w:rPr>
          <w:rFonts w:hint="eastAsia" w:ascii="方正小标宋简体" w:hAnsi="华文中宋" w:eastAsia="方正小标宋简体"/>
          <w:sz w:val="40"/>
          <w:szCs w:val="32"/>
          <w:lang w:eastAsia="zh-CN"/>
        </w:rPr>
        <w:drawing>
          <wp:inline distT="0" distB="0" distL="114300" distR="114300">
            <wp:extent cx="5469890" cy="7729855"/>
            <wp:effectExtent l="0" t="0" r="16510" b="4445"/>
            <wp:docPr id="4" name="图片 4" descr="附件1（96dpi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件1（96dpi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9890" cy="772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JiM2FmMzQ1ZmQ1MmFjM2ZmYjlhYmJlMTZiZWNhOWEifQ=="/>
  </w:docVars>
  <w:rsids>
    <w:rsidRoot w:val="244A197C"/>
    <w:rsid w:val="244A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1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1"/>
    <w:pPr>
      <w:spacing w:after="120"/>
    </w:pPr>
    <w:rPr>
      <w:sz w:val="16"/>
      <w:szCs w:val="16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2022-05-17T06:25:00Z</dcterms:created>
  <dc:creator>　melody</dc:creator>
  <cp:lastModifiedBy>　melody</cp:lastModifiedBy>
  <dcterms:modified xsi:type="dcterms:W3CDTF">2022-05-17T06:26:06Z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B69B73FF9A384AB4AA2D1EFB304F640C</vt:lpwstr>
  </property>
</Properties>
</file>